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spacing w:line="0" w:lineRule="atLeast"/>
        <w:rPr>
          <w:rFonts w:hint="eastAsia" w:ascii="ＭＳ 明朝" w:hAnsi="ＭＳ 明朝" w:eastAsia="ＭＳ 明朝"/>
          <w:sz w:val="24"/>
        </w:rPr>
      </w:pPr>
      <w:bookmarkStart w:id="0" w:name="_GoBack"/>
      <w:bookmarkEnd w:id="0"/>
    </w:p>
    <w:p>
      <w:pPr>
        <w:pStyle w:val="19"/>
        <w:spacing w:line="0" w:lineRule="atLeast"/>
        <w:rPr>
          <w:rFonts w:hint="eastAsia" w:ascii="ＭＳ 明朝" w:hAnsi="ＭＳ 明朝" w:eastAsia="ＭＳ 明朝"/>
          <w:sz w:val="24"/>
        </w:rPr>
      </w:pPr>
      <w:r>
        <w:rPr>
          <w:rFonts w:hint="eastAsia" w:ascii="ＭＳ 明朝" w:hAnsi="ＭＳ 明朝" w:eastAsia="ＭＳ 明朝"/>
          <w:sz w:val="24"/>
        </w:rPr>
        <w:t>【パブリックコメント参考資料】</w:t>
      </w:r>
    </w:p>
    <w:p>
      <w:pPr>
        <w:pStyle w:val="19"/>
        <w:spacing w:line="0" w:lineRule="atLeast"/>
        <w:rPr>
          <w:rFonts w:hint="eastAsia" w:ascii="ＭＳ 明朝" w:hAnsi="ＭＳ 明朝" w:eastAsia="ＭＳ 明朝"/>
          <w:sz w:val="24"/>
        </w:rPr>
      </w:pPr>
    </w:p>
    <w:p>
      <w:pPr>
        <w:pStyle w:val="19"/>
        <w:spacing w:line="0" w:lineRule="atLeast"/>
        <w:ind w:left="0" w:leftChars="0" w:right="0" w:rightChars="0" w:hangingChars="200" w:firstLine="0"/>
        <w:jc w:val="center"/>
        <w:rPr>
          <w:rFonts w:hint="eastAsia" w:ascii="HGS創英角ｺﾞｼｯｸUB" w:hAnsi="HGS創英角ｺﾞｼｯｸUB" w:eastAsia="HGS創英角ｺﾞｼｯｸUB"/>
          <w:b w:val="0"/>
          <w:sz w:val="28"/>
        </w:rPr>
      </w:pPr>
      <w:r>
        <w:rPr>
          <w:rFonts w:hint="default"/>
        </w:rPr>
        <w:pict>
          <v:shapetype id="_x0000_t202" coordsize="21600,21600" o:spt="202" path="m,l,21600r21600,l21600,xe">
            <v:stroke joinstyle="miter"/>
            <v:path gradientshapeok="t" o:connecttype="rect"/>
          </v:shapetype>
          <v:shape id="_x0000_s1026" style="margin-top:-18pt;mso-position-vertical-relative:text;mso-position-horizontal-relative:text;position:absolute;height:18pt;width:63pt;margin-left:360pt;z-index:2;" filled="f" stroked="f" o:spt="202" type="#_x0000_t202">
            <v:fill/>
            <v:stroke joinstyle="miter"/>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w:r>
      <w:r>
        <w:rPr>
          <w:rFonts w:hint="eastAsia" w:ascii="HGS創英角ｺﾞｼｯｸUB" w:hAnsi="HGS創英角ｺﾞｼｯｸUB" w:eastAsia="HGS創英角ｺﾞｼｯｸUB"/>
          <w:b w:val="0"/>
          <w:strike w:val="0"/>
          <w:dstrike w:val="0"/>
          <w:sz w:val="28"/>
        </w:rPr>
        <w:t>（仮称）箕面市障害者情報コミュニケーション促進条例（素案）</w:t>
      </w:r>
      <w:r>
        <w:rPr>
          <w:rFonts w:hint="eastAsia" w:ascii="HGS創英角ｺﾞｼｯｸUB" w:hAnsi="HGS創英角ｺﾞｼｯｸUB" w:eastAsia="HGS創英角ｺﾞｼｯｸUB"/>
          <w:b w:val="0"/>
          <w:sz w:val="28"/>
        </w:rPr>
        <w:t>の</w:t>
      </w:r>
    </w:p>
    <w:p>
      <w:pPr>
        <w:pStyle w:val="19"/>
        <w:spacing w:line="0" w:lineRule="atLeast"/>
        <w:ind w:left="0" w:leftChars="0" w:right="0" w:rightChars="0" w:hangingChars="200" w:firstLine="0"/>
        <w:jc w:val="center"/>
        <w:rPr>
          <w:rFonts w:hint="eastAsia" w:ascii="HGS創英角ｺﾞｼｯｸUB" w:hAnsi="HGS創英角ｺﾞｼｯｸUB" w:eastAsia="HGS創英角ｺﾞｼｯｸUB"/>
          <w:b w:val="0"/>
          <w:sz w:val="28"/>
        </w:rPr>
      </w:pPr>
      <w:r>
        <w:rPr>
          <w:rFonts w:hint="eastAsia" w:ascii="HGS創英角ｺﾞｼｯｸUB" w:hAnsi="HGS創英角ｺﾞｼｯｸUB" w:eastAsia="HGS創英角ｺﾞｼｯｸUB"/>
          <w:b w:val="0"/>
          <w:sz w:val="28"/>
        </w:rPr>
        <w:t>考え方について</w:t>
      </w:r>
    </w:p>
    <w:p>
      <w:pPr>
        <w:pStyle w:val="19"/>
        <w:spacing w:line="0" w:lineRule="atLeast"/>
        <w:rPr>
          <w:rFonts w:hint="eastAsia" w:ascii="ＭＳ 明朝" w:hAnsi="ＭＳ 明朝" w:eastAsia="ＭＳ 明朝"/>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854"/>
      </w:tblGrid>
      <w:tr>
        <w:trPr/>
        <w:tc>
          <w:tcPr>
            <w:tcW w:w="98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0" w:lineRule="atLeast"/>
              <w:rPr>
                <w:rFonts w:hint="eastAsia"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Ⅰ</w:t>
            </w:r>
            <w:r>
              <w:rPr>
                <w:rFonts w:hint="eastAsia" w:ascii="HGS創英角ｺﾞｼｯｸUB" w:hAnsi="HGS創英角ｺﾞｼｯｸUB" w:eastAsia="HGS創英角ｺﾞｼｯｸUB"/>
                <w:sz w:val="28"/>
              </w:rPr>
              <w:t>.</w:t>
            </w:r>
            <w:r>
              <w:rPr>
                <w:rFonts w:hint="eastAsia" w:ascii="HGS創英角ｺﾞｼｯｸUB" w:hAnsi="HGS創英角ｺﾞｼｯｸUB" w:eastAsia="HGS創英角ｺﾞｼｯｸUB"/>
                <w:sz w:val="28"/>
              </w:rPr>
              <w:t>　条例の目的</w:t>
            </w:r>
          </w:p>
        </w:tc>
      </w:tr>
    </w:tbl>
    <w:p>
      <w:pPr>
        <w:pStyle w:val="19"/>
        <w:spacing w:line="0" w:lineRule="atLeast"/>
        <w:rPr>
          <w:rFonts w:hint="eastAsia" w:ascii="ＭＳ 明朝" w:hAnsi="ＭＳ 明朝" w:eastAsia="ＭＳ 明朝"/>
          <w:sz w:val="24"/>
        </w:rPr>
      </w:pPr>
    </w:p>
    <w:p>
      <w:pPr>
        <w:pStyle w:val="19"/>
        <w:spacing w:line="0" w:lineRule="atLeast"/>
        <w:ind w:firstLine="240" w:firstLineChars="100"/>
        <w:rPr>
          <w:rFonts w:hint="eastAsia" w:ascii="ＭＳ 明朝" w:hAnsi="ＭＳ 明朝" w:eastAsia="ＭＳ 明朝"/>
          <w:sz w:val="24"/>
        </w:rPr>
      </w:pPr>
      <w:r>
        <w:rPr>
          <w:rFonts w:hint="eastAsia" w:ascii="ＭＳ 明朝" w:hAnsi="ＭＳ 明朝" w:eastAsia="ＭＳ 明朝"/>
          <w:sz w:val="24"/>
        </w:rPr>
        <w:t>障害者の意思疎通に関する社会的障壁の除去に努め、障害の特性に応じた意思疎通のための手段を利用しやすい環境を構築し、もって全ての人々が支え合い、共に生き、共に暮らす地域社会をめざすため、本条例を制定するものである。</w:t>
      </w:r>
    </w:p>
    <w:p>
      <w:pPr>
        <w:pStyle w:val="19"/>
        <w:spacing w:line="0" w:lineRule="atLeast"/>
        <w:rPr>
          <w:rFonts w:hint="eastAsia" w:ascii="ＭＳ 明朝" w:hAnsi="ＭＳ 明朝" w:eastAsia="ＭＳ 明朝"/>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854"/>
      </w:tblGrid>
      <w:tr>
        <w:trPr/>
        <w:tc>
          <w:tcPr>
            <w:tcW w:w="98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0" w:lineRule="atLeast"/>
              <w:rPr>
                <w:rFonts w:hint="eastAsia"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Ⅱ</w:t>
            </w:r>
            <w:r>
              <w:rPr>
                <w:rFonts w:hint="eastAsia" w:ascii="HGS創英角ｺﾞｼｯｸUB" w:hAnsi="HGS創英角ｺﾞｼｯｸUB" w:eastAsia="HGS創英角ｺﾞｼｯｸUB"/>
                <w:sz w:val="28"/>
              </w:rPr>
              <w:t>.</w:t>
            </w:r>
            <w:r>
              <w:rPr>
                <w:rFonts w:hint="eastAsia" w:ascii="HGS創英角ｺﾞｼｯｸUB" w:hAnsi="HGS創英角ｺﾞｼｯｸUB" w:eastAsia="HGS創英角ｺﾞｼｯｸUB"/>
                <w:sz w:val="28"/>
              </w:rPr>
              <w:t>　（仮称）</w:t>
            </w:r>
            <w:r>
              <w:rPr>
                <w:rFonts w:hint="eastAsia" w:ascii="HGS創英角ｺﾞｼｯｸUB" w:hAnsi="HGS創英角ｺﾞｼｯｸUB" w:eastAsia="HGS創英角ｺﾞｼｯｸUB"/>
                <w:strike w:val="0"/>
                <w:dstrike w:val="0"/>
                <w:sz w:val="28"/>
              </w:rPr>
              <w:t>箕面市障害者情報コミュニケーション促進条例</w:t>
            </w:r>
            <w:r>
              <w:rPr>
                <w:rFonts w:hint="eastAsia" w:ascii="HGS創英角ｺﾞｼｯｸUB" w:hAnsi="HGS創英角ｺﾞｼｯｸUB" w:eastAsia="HGS創英角ｺﾞｼｯｸUB"/>
                <w:sz w:val="28"/>
              </w:rPr>
              <w:t>（素案）の概要</w:t>
            </w:r>
          </w:p>
        </w:tc>
      </w:tr>
    </w:tbl>
    <w:p>
      <w:pPr>
        <w:pStyle w:val="19"/>
        <w:spacing w:line="0" w:lineRule="atLeast"/>
        <w:rPr>
          <w:rFonts w:hint="eastAsia" w:ascii="ＭＳ 明朝" w:hAnsi="ＭＳ 明朝" w:eastAsia="ＭＳ 明朝"/>
          <w:sz w:val="24"/>
        </w:rPr>
      </w:pPr>
    </w:p>
    <w:p>
      <w:pPr>
        <w:pStyle w:val="19"/>
        <w:spacing w:line="0" w:lineRule="atLeast"/>
        <w:rPr>
          <w:rFonts w:hint="eastAsia"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　基本理念</w:t>
      </w:r>
    </w:p>
    <w:p>
      <w:pPr>
        <w:pStyle w:val="19"/>
        <w:spacing w:line="0" w:lineRule="atLeast"/>
        <w:ind w:left="0" w:leftChars="91" w:hangingChars="245" w:firstLine="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）意思疎通手段の利用機会の確保は、相互理解及び個性と人格の尊重を基本として行われなければならない。</w:t>
      </w:r>
    </w:p>
    <w:p>
      <w:pPr>
        <w:pStyle w:val="19"/>
        <w:spacing w:line="0" w:lineRule="atLeast"/>
        <w:ind w:left="0" w:leftChars="91" w:hangingChars="234" w:firstLine="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）意思疎通手段を利用する人が意思疎通を円滑に図る権利は、最大限尊重されなければならない。</w:t>
      </w:r>
    </w:p>
    <w:p>
      <w:pPr>
        <w:pStyle w:val="19"/>
        <w:spacing w:line="0" w:lineRule="atLeast"/>
        <w:ind w:left="0" w:leftChars="0" w:firstLine="0" w:firstLineChars="80"/>
        <w:rPr>
          <w:rFonts w:hint="eastAsia" w:ascii="ＭＳ 明朝" w:hAnsi="ＭＳ 明朝" w:eastAsia="ＭＳ 明朝"/>
          <w:sz w:val="24"/>
        </w:rPr>
      </w:pPr>
    </w:p>
    <w:p>
      <w:pPr>
        <w:pStyle w:val="19"/>
        <w:spacing w:line="0" w:lineRule="atLeast"/>
        <w:rPr>
          <w:rFonts w:hint="eastAsia"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　市の責務</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）市は、意思疎通手段に対する市民及び事業者等の理解を促進するための施策を推進する。</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）市は、障害者が意思疎通手段を選択して利用する機会が確保され、情報を取得し、利用することができる環境の整備を促進する施策を推進する。</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）市は、市が主催する行事等において、意思疎通支援者の配置を進める施策を推進する。</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4</w:t>
      </w:r>
      <w:r>
        <w:rPr>
          <w:rFonts w:hint="eastAsia" w:ascii="ＭＳ 明朝" w:hAnsi="ＭＳ 明朝" w:eastAsia="ＭＳ 明朝"/>
          <w:sz w:val="24"/>
        </w:rPr>
        <w:t>）市は、災害その他の非常の事態の場合において、障害者に対しその安全を確保するための必要な情報が迅速かつ的確に伝えられるようにするための施策を推進する。</w:t>
      </w:r>
    </w:p>
    <w:p>
      <w:pPr>
        <w:pStyle w:val="19"/>
        <w:spacing w:line="0" w:lineRule="atLeast"/>
        <w:rPr>
          <w:rFonts w:hint="eastAsia" w:ascii="ＭＳ 明朝" w:hAnsi="ＭＳ 明朝" w:eastAsia="ＭＳ 明朝"/>
          <w:sz w:val="24"/>
        </w:rPr>
      </w:pPr>
    </w:p>
    <w:p>
      <w:pPr>
        <w:pStyle w:val="19"/>
        <w:spacing w:line="0" w:lineRule="atLeast"/>
        <w:rPr>
          <w:rFonts w:hint="eastAsia" w:ascii="ＭＳ 明朝" w:hAnsi="ＭＳ 明朝" w:eastAsia="ＭＳ 明朝"/>
          <w:sz w:val="24"/>
        </w:rPr>
      </w:pPr>
      <w:r>
        <w:rPr>
          <w:rFonts w:hint="eastAsia" w:ascii="ＭＳ 明朝" w:hAnsi="ＭＳ 明朝" w:eastAsia="ＭＳ 明朝"/>
          <w:sz w:val="24"/>
        </w:rPr>
        <w:t>3</w:t>
      </w:r>
      <w:r>
        <w:rPr>
          <w:rFonts w:hint="eastAsia" w:ascii="ＭＳ 明朝" w:hAnsi="ＭＳ 明朝" w:eastAsia="ＭＳ 明朝"/>
          <w:sz w:val="24"/>
        </w:rPr>
        <w:t>　市民の役割</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）市民は、意思疎通手段に対する理解を深めるよう努める。</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）市民は、障害者が、意思疎通手段を選択して利用する機会が確保され、情報を取得し、利用することが、障害者の日常生活及び社会生活にとって必要不可欠であることを理解するよう努める。</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）市民は、相互に意思疎通手段を利用することを尊重するよう努める。</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4</w:t>
      </w:r>
      <w:r>
        <w:rPr>
          <w:rFonts w:hint="eastAsia" w:ascii="ＭＳ 明朝" w:hAnsi="ＭＳ 明朝" w:eastAsia="ＭＳ 明朝"/>
          <w:sz w:val="24"/>
        </w:rPr>
        <w:t>）市民は、意思疎通手段の普及及び利用の促進に係る市の施策に協力するよう努める。</w:t>
      </w:r>
    </w:p>
    <w:p>
      <w:pPr>
        <w:pStyle w:val="19"/>
        <w:spacing w:line="0" w:lineRule="atLeast"/>
        <w:rPr>
          <w:rFonts w:hint="eastAsia" w:ascii="ＭＳ 明朝" w:hAnsi="ＭＳ 明朝" w:eastAsia="ＭＳ 明朝"/>
          <w:sz w:val="24"/>
        </w:rPr>
      </w:pPr>
    </w:p>
    <w:p>
      <w:pPr>
        <w:pStyle w:val="19"/>
        <w:spacing w:line="0" w:lineRule="atLeast"/>
        <w:rPr>
          <w:rFonts w:hint="eastAsia" w:ascii="ＭＳ 明朝" w:hAnsi="ＭＳ 明朝" w:eastAsia="ＭＳ 明朝"/>
          <w:sz w:val="24"/>
        </w:rPr>
      </w:pPr>
      <w:r>
        <w:rPr>
          <w:rFonts w:hint="eastAsia" w:ascii="ＭＳ 明朝" w:hAnsi="ＭＳ 明朝" w:eastAsia="ＭＳ 明朝"/>
          <w:sz w:val="24"/>
        </w:rPr>
        <w:t>4</w:t>
      </w:r>
      <w:r>
        <w:rPr>
          <w:rFonts w:hint="eastAsia" w:ascii="ＭＳ 明朝" w:hAnsi="ＭＳ 明朝" w:eastAsia="ＭＳ 明朝"/>
          <w:sz w:val="24"/>
        </w:rPr>
        <w:t>　事業者等の役割</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）事業者等は、意思疎通手段に対する理解を深めることに努める。</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）事業者等は、障害者が、意思疎通手段を選択して利用する機会が確保され、情報を取得し、利用することが、障害者の日常生活及び社会生活にとって必要不可欠であることを理解するよう努める。</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）事業者等は、障害者が意思疎通手段を利用できるよう、合理的な配慮を行うよう努める。</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4</w:t>
      </w:r>
      <w:r>
        <w:rPr>
          <w:rFonts w:hint="eastAsia" w:ascii="ＭＳ 明朝" w:hAnsi="ＭＳ 明朝" w:eastAsia="ＭＳ 明朝"/>
          <w:sz w:val="24"/>
        </w:rPr>
        <w:t>）事業者等は、意思疎通手段の普及及び利用の促進に係る市の施策に協力するよう努める。</w:t>
      </w:r>
    </w:p>
    <w:p>
      <w:pPr>
        <w:pStyle w:val="19"/>
        <w:spacing w:line="0" w:lineRule="atLeast"/>
        <w:rPr>
          <w:rFonts w:hint="eastAsia" w:ascii="ＭＳ 明朝" w:hAnsi="ＭＳ 明朝" w:eastAsia="ＭＳ 明朝"/>
          <w:sz w:val="24"/>
        </w:rPr>
      </w:pPr>
    </w:p>
    <w:p>
      <w:pPr>
        <w:pStyle w:val="19"/>
        <w:spacing w:line="0" w:lineRule="atLeast"/>
        <w:rPr>
          <w:rFonts w:hint="eastAsia" w:ascii="ＭＳ 明朝" w:hAnsi="ＭＳ 明朝" w:eastAsia="ＭＳ 明朝"/>
          <w:sz w:val="24"/>
        </w:rPr>
      </w:pPr>
      <w:r>
        <w:rPr>
          <w:rFonts w:hint="eastAsia" w:ascii="ＭＳ 明朝" w:hAnsi="ＭＳ 明朝" w:eastAsia="ＭＳ 明朝"/>
          <w:sz w:val="24"/>
        </w:rPr>
        <w:t>5</w:t>
      </w:r>
      <w:r>
        <w:rPr>
          <w:rFonts w:hint="eastAsia" w:ascii="ＭＳ 明朝" w:hAnsi="ＭＳ 明朝" w:eastAsia="ＭＳ 明朝"/>
          <w:sz w:val="24"/>
        </w:rPr>
        <w:t>　意見の聴取</w:t>
      </w:r>
    </w:p>
    <w:p>
      <w:pPr>
        <w:pStyle w:val="19"/>
        <w:spacing w:line="0" w:lineRule="atLeast"/>
        <w:ind w:left="0" w:leftChars="114" w:hangingChars="236" w:firstLine="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）市は、市障害福祉計画等の策定又は変更の機会において、各施策の内容の検討及び見直しを行うに当たり、障害者並びにその他の関係者及び関係団体の意見を聴くものとする。</w:t>
      </w:r>
    </w:p>
    <w:p>
      <w:pPr>
        <w:pStyle w:val="19"/>
        <w:spacing w:line="0" w:lineRule="atLeast"/>
        <w:rPr>
          <w:rFonts w:hint="eastAsia" w:ascii="ＭＳ 明朝" w:hAnsi="ＭＳ 明朝" w:eastAsia="ＭＳ 明朝"/>
          <w:sz w:val="24"/>
        </w:rPr>
      </w:pPr>
    </w:p>
    <w:p>
      <w:pPr>
        <w:pStyle w:val="19"/>
        <w:spacing w:line="0" w:lineRule="atLeast"/>
        <w:rPr>
          <w:rFonts w:hint="eastAsia" w:ascii="ＭＳ 明朝" w:hAnsi="ＭＳ 明朝" w:eastAsia="ＭＳ 明朝"/>
          <w:sz w:val="24"/>
        </w:rPr>
      </w:pPr>
      <w:r>
        <w:rPr>
          <w:rFonts w:hint="eastAsia" w:ascii="ＭＳ 明朝" w:hAnsi="ＭＳ 明朝" w:eastAsia="ＭＳ 明朝"/>
          <w:sz w:val="24"/>
        </w:rPr>
        <w:t>6</w:t>
      </w:r>
      <w:r>
        <w:rPr>
          <w:rFonts w:hint="eastAsia" w:ascii="ＭＳ 明朝" w:hAnsi="ＭＳ 明朝" w:eastAsia="ＭＳ 明朝"/>
          <w:sz w:val="24"/>
        </w:rPr>
        <w:t>　財政上の措置</w:t>
      </w:r>
    </w:p>
    <w:p>
      <w:pPr>
        <w:pStyle w:val="19"/>
        <w:tabs>
          <w:tab w:val="clear" w:pos="840"/>
          <w:tab w:val="clear" w:pos="844"/>
          <w:tab w:val="clear" w:pos="1430"/>
          <w:tab w:val="clear" w:pos="1620"/>
          <w:tab w:val="left" w:leader="none" w:pos="850"/>
        </w:tabs>
        <w:spacing w:line="0" w:lineRule="atLeast"/>
        <w:ind w:left="0" w:leftChars="155" w:hangingChars="210" w:firstLine="0"/>
        <w:rPr>
          <w:rFonts w:hint="eastAsia" w:ascii="ＭＳ 明朝" w:hAnsi="ＭＳ 明朝" w:eastAsia="ＭＳ 明朝"/>
          <w:sz w:val="24"/>
        </w:rPr>
      </w:pPr>
      <w:r>
        <w:rPr>
          <w:rFonts w:hint="eastAsia" w:ascii="ＭＳ 明朝" w:hAnsi="ＭＳ 明朝" w:eastAsia="ＭＳ 明朝"/>
          <w:sz w:val="24"/>
        </w:rPr>
        <w:t xml:space="preserve">(1) </w:t>
      </w:r>
      <w:r>
        <w:rPr>
          <w:rFonts w:hint="eastAsia" w:ascii="ＭＳ 明朝" w:hAnsi="ＭＳ 明朝" w:eastAsia="ＭＳ 明朝"/>
          <w:sz w:val="24"/>
        </w:rPr>
        <w:t>市は、各施策を推進するため、予算の範囲内において、必要な財政上の措置を講ずるものとする。</w:t>
      </w:r>
    </w:p>
    <w:p>
      <w:pPr>
        <w:pStyle w:val="19"/>
        <w:spacing w:line="0" w:lineRule="atLeast"/>
        <w:rPr>
          <w:rFonts w:hint="eastAsia" w:ascii="ＭＳ 明朝" w:hAnsi="ＭＳ 明朝" w:eastAsia="ＭＳ 明朝"/>
          <w:sz w:val="24"/>
        </w:rPr>
      </w:pPr>
    </w:p>
    <w:p>
      <w:pPr>
        <w:pStyle w:val="19"/>
        <w:spacing w:line="0" w:lineRule="atLeast"/>
        <w:rPr>
          <w:rFonts w:hint="eastAsia" w:ascii="ＭＳ 明朝" w:hAnsi="ＭＳ 明朝" w:eastAsia="ＭＳ 明朝"/>
          <w:sz w:val="24"/>
        </w:rPr>
      </w:pPr>
      <w:r>
        <w:rPr>
          <w:rFonts w:hint="eastAsia" w:ascii="ＭＳ 明朝" w:hAnsi="ＭＳ 明朝" w:eastAsia="ＭＳ 明朝"/>
          <w:sz w:val="24"/>
        </w:rPr>
        <w:t>7</w:t>
      </w:r>
      <w:r>
        <w:rPr>
          <w:rFonts w:hint="eastAsia" w:ascii="ＭＳ 明朝" w:hAnsi="ＭＳ 明朝" w:eastAsia="ＭＳ 明朝"/>
          <w:sz w:val="24"/>
        </w:rPr>
        <w:t>　意思疎通手段の利用環境の整備等</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）意思疎通手段を学ぶ機会の提供</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）学校等による意思疎通手段に対する理解の促進</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）事業者等による意思疎通手段に対する理解の促進</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4</w:t>
      </w:r>
      <w:r>
        <w:rPr>
          <w:rFonts w:hint="eastAsia" w:ascii="ＭＳ 明朝" w:hAnsi="ＭＳ 明朝" w:eastAsia="ＭＳ 明朝"/>
          <w:sz w:val="24"/>
        </w:rPr>
        <w:t>）意思疎通手段による情報発信等</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5</w:t>
      </w:r>
      <w:r>
        <w:rPr>
          <w:rFonts w:hint="eastAsia" w:ascii="ＭＳ 明朝" w:hAnsi="ＭＳ 明朝" w:eastAsia="ＭＳ 明朝"/>
          <w:sz w:val="24"/>
        </w:rPr>
        <w:t>）手話及び要約筆記による意思疎通支援</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6</w:t>
      </w:r>
      <w:r>
        <w:rPr>
          <w:rFonts w:hint="eastAsia" w:ascii="ＭＳ 明朝" w:hAnsi="ＭＳ 明朝" w:eastAsia="ＭＳ 明朝"/>
          <w:sz w:val="24"/>
        </w:rPr>
        <w:t>）意思疎通支援者の配置支援</w:t>
      </w:r>
    </w:p>
    <w:p>
      <w:pPr>
        <w:pStyle w:val="19"/>
        <w:spacing w:line="0" w:lineRule="atLeast"/>
        <w:ind w:firstLine="240" w:firstLineChars="100"/>
        <w:rPr>
          <w:rFonts w:hint="eastAsia" w:ascii="Meiryo UI" w:hAnsi="Meiryo UI" w:eastAsia="Meiryo UI"/>
          <w:sz w:val="24"/>
        </w:rPr>
      </w:pPr>
      <w:r>
        <w:rPr>
          <w:rFonts w:hint="eastAsia" w:ascii="ＭＳ 明朝" w:hAnsi="ＭＳ 明朝" w:eastAsia="ＭＳ 明朝"/>
          <w:sz w:val="24"/>
        </w:rPr>
        <w:t>（</w:t>
      </w:r>
      <w:r>
        <w:rPr>
          <w:rFonts w:hint="eastAsia" w:ascii="ＭＳ 明朝" w:hAnsi="ＭＳ 明朝" w:eastAsia="ＭＳ 明朝"/>
          <w:sz w:val="24"/>
        </w:rPr>
        <w:t>7</w:t>
      </w:r>
      <w:r>
        <w:rPr>
          <w:rFonts w:hint="eastAsia" w:ascii="ＭＳ 明朝" w:hAnsi="ＭＳ 明朝" w:eastAsia="ＭＳ 明朝"/>
          <w:sz w:val="24"/>
        </w:rPr>
        <w:t>）意思疎通支援者の確保と養成</w:t>
      </w:r>
    </w:p>
    <w:p>
      <w:pPr>
        <w:pStyle w:val="19"/>
        <w:spacing w:line="0" w:lineRule="atLeast"/>
        <w:rPr>
          <w:rFonts w:hint="eastAsia" w:ascii="Meiryo UI" w:hAnsi="Meiryo UI" w:eastAsia="Meiryo UI"/>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854"/>
      </w:tblGrid>
      <w:tr>
        <w:trPr/>
        <w:tc>
          <w:tcPr>
            <w:tcW w:w="98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0" w:lineRule="atLeast"/>
              <w:rPr>
                <w:rFonts w:hint="eastAsia"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Ⅲ</w:t>
            </w:r>
            <w:r>
              <w:rPr>
                <w:rFonts w:hint="eastAsia" w:ascii="HGS創英角ｺﾞｼｯｸUB" w:hAnsi="HGS創英角ｺﾞｼｯｸUB" w:eastAsia="HGS創英角ｺﾞｼｯｸUB"/>
                <w:sz w:val="28"/>
              </w:rPr>
              <w:t>.</w:t>
            </w:r>
            <w:r>
              <w:rPr>
                <w:rFonts w:hint="eastAsia" w:ascii="HGS創英角ｺﾞｼｯｸUB" w:hAnsi="HGS創英角ｺﾞｼｯｸUB" w:eastAsia="HGS創英角ｺﾞｼｯｸUB"/>
                <w:sz w:val="28"/>
              </w:rPr>
              <w:t>　スケジュール</w:t>
            </w:r>
          </w:p>
        </w:tc>
      </w:tr>
    </w:tbl>
    <w:p>
      <w:pPr>
        <w:pStyle w:val="19"/>
        <w:spacing w:line="0" w:lineRule="atLeast"/>
        <w:rPr>
          <w:rFonts w:hint="eastAsia" w:ascii="Meiryo UI" w:hAnsi="Meiryo UI" w:eastAsia="Meiryo UI"/>
          <w:sz w:val="24"/>
        </w:rPr>
      </w:pPr>
    </w:p>
    <w:tbl>
      <w:tblPr>
        <w:tblStyle w:val="11"/>
        <w:tblW w:w="0" w:type="auto"/>
        <w:jc w:val="left"/>
        <w:tblInd w:w="4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2700"/>
        <w:gridCol w:w="6948"/>
      </w:tblGrid>
      <w:tr>
        <w:trPr>
          <w:trHeight w:val="360" w:hRule="atLeast"/>
        </w:trPr>
        <w:tc>
          <w:tcPr>
            <w:tcW w:w="2700" w:type="dxa"/>
            <w:tcBorders>
              <w:top w:val="nil"/>
              <w:left w:val="nil"/>
              <w:bottom w:val="nil"/>
              <w:right w:val="nil"/>
              <w:tl2br w:val="nil"/>
              <w:tr2bl w:val="nil"/>
            </w:tcBorders>
            <w:shd w:val="clear" w:color="auto" w:fill="auto"/>
            <w:vAlign w:val="center"/>
          </w:tcPr>
          <w:p>
            <w:pPr>
              <w:pStyle w:val="0"/>
              <w:spacing w:line="0" w:lineRule="atLeast"/>
              <w:jc w:val="both"/>
              <w:rPr>
                <w:rFonts w:hint="eastAsia" w:ascii="ＭＳ 明朝" w:hAnsi="ＭＳ 明朝" w:eastAsia="ＭＳ 明朝"/>
                <w:sz w:val="24"/>
              </w:rPr>
            </w:pPr>
            <w:r>
              <w:rPr>
                <w:rFonts w:hint="eastAsia" w:ascii="ＭＳ 明朝" w:hAnsi="ＭＳ 明朝" w:eastAsia="ＭＳ 明朝"/>
                <w:sz w:val="24"/>
              </w:rPr>
              <w:t>・令和</w:t>
            </w:r>
            <w:r>
              <w:rPr>
                <w:rFonts w:hint="eastAsia" w:ascii="ＭＳ 明朝" w:hAnsi="ＭＳ 明朝" w:eastAsia="ＭＳ 明朝"/>
                <w:sz w:val="24"/>
              </w:rPr>
              <w:t>5</w:t>
            </w:r>
            <w:r>
              <w:rPr>
                <w:rFonts w:hint="eastAsia" w:ascii="ＭＳ 明朝" w:hAnsi="ＭＳ 明朝" w:eastAsia="ＭＳ 明朝"/>
                <w:sz w:val="24"/>
              </w:rPr>
              <w:t>年</w:t>
            </w:r>
            <w:r>
              <w:rPr>
                <w:rFonts w:hint="eastAsia" w:ascii="ＭＳ 明朝" w:hAnsi="ＭＳ 明朝" w:eastAsia="ＭＳ 明朝"/>
                <w:sz w:val="24"/>
              </w:rPr>
              <w:t>8</w:t>
            </w:r>
            <w:r>
              <w:rPr>
                <w:rFonts w:hint="eastAsia" w:ascii="ＭＳ 明朝" w:hAnsi="ＭＳ 明朝" w:eastAsia="ＭＳ 明朝"/>
                <w:sz w:val="24"/>
              </w:rPr>
              <w:t>月</w:t>
            </w:r>
          </w:p>
        </w:tc>
        <w:tc>
          <w:tcPr>
            <w:tcW w:w="6948" w:type="dxa"/>
            <w:tcBorders>
              <w:top w:val="nil"/>
              <w:left w:val="nil"/>
              <w:bottom w:val="nil"/>
              <w:right w:val="nil"/>
              <w:tl2br w:val="nil"/>
              <w:tr2bl w:val="nil"/>
            </w:tcBorders>
            <w:shd w:val="clear" w:color="auto" w:fill="auto"/>
            <w:vAlign w:val="center"/>
          </w:tcPr>
          <w:p>
            <w:pPr>
              <w:pStyle w:val="0"/>
              <w:spacing w:line="0" w:lineRule="atLeast"/>
              <w:jc w:val="both"/>
              <w:rPr>
                <w:rFonts w:hint="eastAsia" w:ascii="ＭＳ 明朝" w:hAnsi="ＭＳ 明朝" w:eastAsia="ＭＳ 明朝"/>
                <w:sz w:val="24"/>
              </w:rPr>
            </w:pPr>
            <w:r>
              <w:rPr>
                <w:rFonts w:hint="eastAsia" w:ascii="ＭＳ 明朝" w:hAnsi="ＭＳ 明朝" w:eastAsia="ＭＳ 明朝"/>
                <w:sz w:val="24"/>
              </w:rPr>
              <w:t>パブリックコメント実施</w:t>
            </w:r>
          </w:p>
        </w:tc>
      </w:tr>
      <w:tr>
        <w:trPr>
          <w:trHeight w:val="360" w:hRule="atLeast"/>
        </w:trPr>
        <w:tc>
          <w:tcPr>
            <w:tcW w:w="2700" w:type="dxa"/>
            <w:tcBorders>
              <w:top w:val="nil"/>
              <w:left w:val="nil"/>
              <w:bottom w:val="nil"/>
              <w:right w:val="nil"/>
              <w:tl2br w:val="nil"/>
              <w:tr2bl w:val="nil"/>
            </w:tcBorders>
            <w:shd w:val="clear" w:color="auto" w:fill="auto"/>
            <w:vAlign w:val="center"/>
          </w:tcPr>
          <w:p>
            <w:pPr>
              <w:pStyle w:val="0"/>
              <w:spacing w:line="0" w:lineRule="atLeast"/>
              <w:jc w:val="both"/>
              <w:rPr>
                <w:rFonts w:hint="eastAsia" w:ascii="ＭＳ 明朝" w:hAnsi="ＭＳ 明朝" w:eastAsia="ＭＳ 明朝"/>
                <w:sz w:val="24"/>
              </w:rPr>
            </w:pPr>
            <w:r>
              <w:rPr>
                <w:rFonts w:hint="eastAsia" w:ascii="ＭＳ 明朝" w:hAnsi="ＭＳ 明朝" w:eastAsia="ＭＳ 明朝"/>
                <w:sz w:val="24"/>
              </w:rPr>
              <w:t>・令和</w:t>
            </w:r>
            <w:r>
              <w:rPr>
                <w:rFonts w:hint="eastAsia" w:ascii="ＭＳ 明朝" w:hAnsi="ＭＳ 明朝" w:eastAsia="ＭＳ 明朝"/>
                <w:sz w:val="24"/>
              </w:rPr>
              <w:t>5</w:t>
            </w:r>
            <w:r>
              <w:rPr>
                <w:rFonts w:hint="eastAsia" w:ascii="ＭＳ 明朝" w:hAnsi="ＭＳ 明朝" w:eastAsia="ＭＳ 明朝"/>
                <w:sz w:val="24"/>
              </w:rPr>
              <w:t>年</w:t>
            </w:r>
            <w:r>
              <w:rPr>
                <w:rFonts w:hint="eastAsia" w:ascii="ＭＳ 明朝" w:hAnsi="ＭＳ 明朝" w:eastAsia="ＭＳ 明朝"/>
                <w:sz w:val="24"/>
              </w:rPr>
              <w:t>9</w:t>
            </w:r>
            <w:r>
              <w:rPr>
                <w:rFonts w:hint="eastAsia" w:ascii="ＭＳ 明朝" w:hAnsi="ＭＳ 明朝" w:eastAsia="ＭＳ 明朝"/>
                <w:sz w:val="24"/>
              </w:rPr>
              <w:t>～</w:t>
            </w:r>
            <w:r>
              <w:rPr>
                <w:rFonts w:hint="eastAsia" w:ascii="ＭＳ 明朝" w:hAnsi="ＭＳ 明朝" w:eastAsia="ＭＳ 明朝"/>
                <w:sz w:val="24"/>
              </w:rPr>
              <w:t>10</w:t>
            </w:r>
            <w:r>
              <w:rPr>
                <w:rFonts w:hint="eastAsia" w:ascii="ＭＳ 明朝" w:hAnsi="ＭＳ 明朝" w:eastAsia="ＭＳ 明朝"/>
                <w:sz w:val="24"/>
              </w:rPr>
              <w:t>月</w:t>
            </w:r>
          </w:p>
          <w:p>
            <w:pPr>
              <w:pStyle w:val="0"/>
              <w:spacing w:line="0" w:lineRule="atLeast"/>
              <w:jc w:val="both"/>
              <w:rPr>
                <w:rFonts w:hint="eastAsia" w:ascii="ＭＳ 明朝" w:hAnsi="ＭＳ 明朝" w:eastAsia="ＭＳ 明朝"/>
                <w:sz w:val="24"/>
              </w:rPr>
            </w:pPr>
          </w:p>
        </w:tc>
        <w:tc>
          <w:tcPr>
            <w:tcW w:w="6948" w:type="dxa"/>
            <w:tcBorders>
              <w:top w:val="nil"/>
              <w:left w:val="nil"/>
              <w:bottom w:val="nil"/>
              <w:right w:val="nil"/>
              <w:tl2br w:val="nil"/>
              <w:tr2bl w:val="nil"/>
            </w:tcBorders>
            <w:shd w:val="clear" w:color="auto" w:fill="auto"/>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パブリックコメントの意見整理</w:t>
            </w:r>
          </w:p>
          <w:p>
            <w:pPr>
              <w:pStyle w:val="0"/>
              <w:jc w:val="both"/>
              <w:rPr>
                <w:rFonts w:hint="eastAsia" w:ascii="ＭＳ 明朝" w:hAnsi="ＭＳ 明朝" w:eastAsia="ＭＳ 明朝"/>
                <w:sz w:val="24"/>
              </w:rPr>
            </w:pPr>
            <w:r>
              <w:rPr>
                <w:rFonts w:hint="eastAsia" w:ascii="ＭＳ 明朝" w:hAnsi="ＭＳ 明朝" w:eastAsia="ＭＳ 明朝"/>
                <w:sz w:val="24"/>
              </w:rPr>
              <w:t>条例案の修正検討、確定</w:t>
            </w:r>
          </w:p>
        </w:tc>
      </w:tr>
      <w:tr>
        <w:trPr>
          <w:trHeight w:val="360" w:hRule="atLeast"/>
        </w:trPr>
        <w:tc>
          <w:tcPr>
            <w:tcW w:w="2700" w:type="dxa"/>
            <w:tcBorders>
              <w:top w:val="nil"/>
              <w:left w:val="nil"/>
              <w:bottom w:val="nil"/>
              <w:right w:val="nil"/>
              <w:tl2br w:val="nil"/>
              <w:tr2bl w:val="nil"/>
            </w:tcBorders>
            <w:shd w:val="clear" w:color="auto" w:fill="auto"/>
            <w:vAlign w:val="center"/>
          </w:tcPr>
          <w:p>
            <w:pPr>
              <w:pStyle w:val="0"/>
              <w:spacing w:line="0" w:lineRule="atLeast"/>
              <w:jc w:val="both"/>
              <w:rPr>
                <w:rFonts w:hint="eastAsia" w:ascii="ＭＳ 明朝" w:hAnsi="ＭＳ 明朝" w:eastAsia="ＭＳ 明朝"/>
                <w:sz w:val="24"/>
              </w:rPr>
            </w:pPr>
            <w:r>
              <w:rPr>
                <w:rFonts w:hint="eastAsia" w:ascii="ＭＳ 明朝" w:hAnsi="ＭＳ 明朝" w:eastAsia="ＭＳ 明朝"/>
                <w:sz w:val="24"/>
              </w:rPr>
              <w:t>・令和</w:t>
            </w:r>
            <w:r>
              <w:rPr>
                <w:rFonts w:hint="eastAsia" w:ascii="ＭＳ 明朝" w:hAnsi="ＭＳ 明朝" w:eastAsia="ＭＳ 明朝"/>
                <w:sz w:val="24"/>
              </w:rPr>
              <w:t>5</w:t>
            </w:r>
            <w:r>
              <w:rPr>
                <w:rFonts w:hint="eastAsia" w:ascii="ＭＳ 明朝" w:hAnsi="ＭＳ 明朝" w:eastAsia="ＭＳ 明朝"/>
                <w:sz w:val="24"/>
              </w:rPr>
              <w:t>年</w:t>
            </w:r>
            <w:r>
              <w:rPr>
                <w:rFonts w:hint="eastAsia" w:ascii="ＭＳ 明朝" w:hAnsi="ＭＳ 明朝" w:eastAsia="ＭＳ 明朝"/>
                <w:sz w:val="24"/>
              </w:rPr>
              <w:t>10</w:t>
            </w:r>
            <w:r>
              <w:rPr>
                <w:rFonts w:hint="eastAsia" w:ascii="ＭＳ 明朝" w:hAnsi="ＭＳ 明朝" w:eastAsia="ＭＳ 明朝"/>
                <w:sz w:val="24"/>
              </w:rPr>
              <w:t>月</w:t>
            </w:r>
          </w:p>
        </w:tc>
        <w:tc>
          <w:tcPr>
            <w:tcW w:w="6948" w:type="dxa"/>
            <w:tcBorders>
              <w:top w:val="nil"/>
              <w:left w:val="nil"/>
              <w:bottom w:val="nil"/>
              <w:right w:val="nil"/>
              <w:tl2br w:val="nil"/>
              <w:tr2bl w:val="nil"/>
            </w:tcBorders>
            <w:shd w:val="clear" w:color="auto" w:fill="auto"/>
            <w:vAlign w:val="center"/>
          </w:tcPr>
          <w:p>
            <w:pPr>
              <w:pStyle w:val="0"/>
              <w:spacing w:line="0" w:lineRule="atLeast"/>
              <w:jc w:val="both"/>
              <w:rPr>
                <w:rFonts w:hint="eastAsia" w:ascii="ＭＳ 明朝" w:hAnsi="ＭＳ 明朝" w:eastAsia="ＭＳ 明朝"/>
                <w:sz w:val="24"/>
              </w:rPr>
            </w:pPr>
            <w:r>
              <w:rPr>
                <w:rFonts w:hint="eastAsia" w:ascii="ＭＳ 明朝" w:hAnsi="ＭＳ 明朝" w:eastAsia="ＭＳ 明朝"/>
                <w:sz w:val="24"/>
              </w:rPr>
              <w:t>パブリックコメント実施結果の公表</w:t>
            </w:r>
          </w:p>
        </w:tc>
      </w:tr>
      <w:tr>
        <w:trPr>
          <w:trHeight w:val="360" w:hRule="atLeast"/>
        </w:trPr>
        <w:tc>
          <w:tcPr>
            <w:tcW w:w="2700" w:type="dxa"/>
            <w:tcBorders>
              <w:top w:val="nil"/>
              <w:left w:val="nil"/>
              <w:bottom w:val="nil"/>
              <w:right w:val="nil"/>
              <w:tl2br w:val="nil"/>
              <w:tr2bl w:val="nil"/>
            </w:tcBorders>
            <w:shd w:val="clear" w:color="auto" w:fill="auto"/>
            <w:vAlign w:val="center"/>
          </w:tcPr>
          <w:p>
            <w:pPr>
              <w:pStyle w:val="0"/>
              <w:spacing w:line="0" w:lineRule="atLeast"/>
              <w:jc w:val="both"/>
              <w:rPr>
                <w:rFonts w:hint="eastAsia" w:ascii="ＭＳ 明朝" w:hAnsi="ＭＳ 明朝" w:eastAsia="ＭＳ 明朝"/>
                <w:sz w:val="24"/>
              </w:rPr>
            </w:pPr>
            <w:r>
              <w:rPr>
                <w:rFonts w:hint="eastAsia" w:ascii="ＭＳ 明朝" w:hAnsi="ＭＳ 明朝" w:eastAsia="ＭＳ 明朝"/>
                <w:sz w:val="24"/>
              </w:rPr>
              <w:t>・令和</w:t>
            </w:r>
            <w:r>
              <w:rPr>
                <w:rFonts w:hint="eastAsia" w:ascii="ＭＳ 明朝" w:hAnsi="ＭＳ 明朝" w:eastAsia="ＭＳ 明朝"/>
                <w:sz w:val="24"/>
              </w:rPr>
              <w:t>5</w:t>
            </w:r>
            <w:r>
              <w:rPr>
                <w:rFonts w:hint="eastAsia" w:ascii="ＭＳ 明朝" w:hAnsi="ＭＳ 明朝" w:eastAsia="ＭＳ 明朝"/>
                <w:sz w:val="24"/>
              </w:rPr>
              <w:t>年</w:t>
            </w:r>
            <w:r>
              <w:rPr>
                <w:rFonts w:hint="eastAsia" w:ascii="ＭＳ 明朝" w:hAnsi="ＭＳ 明朝" w:eastAsia="ＭＳ 明朝"/>
                <w:sz w:val="24"/>
              </w:rPr>
              <w:t>12</w:t>
            </w:r>
            <w:r>
              <w:rPr>
                <w:rFonts w:hint="eastAsia" w:ascii="ＭＳ 明朝" w:hAnsi="ＭＳ 明朝" w:eastAsia="ＭＳ 明朝"/>
                <w:sz w:val="24"/>
              </w:rPr>
              <w:t>月</w:t>
            </w:r>
          </w:p>
        </w:tc>
        <w:tc>
          <w:tcPr>
            <w:tcW w:w="6948" w:type="dxa"/>
            <w:tcBorders>
              <w:top w:val="nil"/>
              <w:left w:val="nil"/>
              <w:bottom w:val="nil"/>
              <w:right w:val="nil"/>
              <w:tl2br w:val="nil"/>
              <w:tr2bl w:val="nil"/>
            </w:tcBorders>
            <w:shd w:val="clear" w:color="auto" w:fill="auto"/>
            <w:vAlign w:val="center"/>
          </w:tcPr>
          <w:p>
            <w:pPr>
              <w:pStyle w:val="0"/>
              <w:spacing w:line="0" w:lineRule="atLeast"/>
              <w:jc w:val="both"/>
              <w:rPr>
                <w:rFonts w:hint="eastAsia" w:ascii="ＭＳ 明朝" w:hAnsi="ＭＳ 明朝" w:eastAsia="ＭＳ 明朝"/>
                <w:sz w:val="24"/>
              </w:rPr>
            </w:pPr>
            <w:r>
              <w:rPr>
                <w:rFonts w:hint="eastAsia" w:ascii="ＭＳ 明朝" w:hAnsi="ＭＳ 明朝" w:eastAsia="ＭＳ 明朝"/>
                <w:sz w:val="24"/>
              </w:rPr>
              <w:t>令和</w:t>
            </w:r>
            <w:r>
              <w:rPr>
                <w:rFonts w:hint="eastAsia" w:ascii="ＭＳ 明朝" w:hAnsi="ＭＳ 明朝" w:eastAsia="ＭＳ 明朝"/>
                <w:sz w:val="24"/>
              </w:rPr>
              <w:t>5</w:t>
            </w:r>
            <w:r>
              <w:rPr>
                <w:rFonts w:hint="eastAsia" w:ascii="ＭＳ 明朝" w:hAnsi="ＭＳ 明朝" w:eastAsia="ＭＳ 明朝"/>
                <w:sz w:val="24"/>
              </w:rPr>
              <w:t>年第</w:t>
            </w:r>
            <w:r>
              <w:rPr>
                <w:rFonts w:hint="eastAsia" w:ascii="ＭＳ 明朝" w:hAnsi="ＭＳ 明朝" w:eastAsia="ＭＳ 明朝"/>
                <w:sz w:val="24"/>
              </w:rPr>
              <w:t>4</w:t>
            </w:r>
            <w:r>
              <w:rPr>
                <w:rFonts w:hint="eastAsia" w:ascii="ＭＳ 明朝" w:hAnsi="ＭＳ 明朝" w:eastAsia="ＭＳ 明朝"/>
                <w:sz w:val="24"/>
              </w:rPr>
              <w:t>回箕面市議会定例会に条例案を提案</w:t>
            </w:r>
          </w:p>
        </w:tc>
      </w:tr>
    </w:tbl>
    <w:p>
      <w:pPr>
        <w:pStyle w:val="19"/>
        <w:spacing w:line="0" w:lineRule="atLeast"/>
        <w:rPr>
          <w:rFonts w:hint="eastAsia" w:ascii="Meiryo UI" w:hAnsi="Meiryo UI" w:eastAsia="Meiryo UI"/>
          <w:sz w:val="24"/>
        </w:rPr>
      </w:pPr>
    </w:p>
    <w:sectPr>
      <w:headerReference r:id="rId5" w:type="default"/>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小塚ゴシック Pr6N R">
    <w:panose1 w:val="00000000000000000000"/>
    <w:charset w:val="80"/>
    <w:family w:val="swiss"/>
    <w:pitch w:val="fixed"/>
    <w:sig w:usb0="00000000" w:usb1="00000000" w:usb2="00000000" w:usb3="00000000" w:csb0="00820001" w:csb1="00000000"/>
  </w:font>
  <w:font w:name="メイリオ">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Batang">
    <w:panose1 w:val="00000000000000000000"/>
    <w:charset w:val="80"/>
    <w:family w:val="roman"/>
    <w:notTrueType/>
    <w:pitch w:val="fixed"/>
    <w:sig w:usb0="00000000" w:usb1="00000000" w:usb2="00000000" w:usb3="00000000" w:csb0="00820001" w:csb1="00000000"/>
  </w:font>
  <w:font w:name="BatangChe">
    <w:panose1 w:val="00000000000000000000"/>
    <w:charset w:val="80"/>
    <w:family w:val="modern"/>
    <w:notTrueType/>
    <w:pitch w:val="fixed"/>
    <w:sig w:usb0="00000000" w:usb1="00000000" w:usb2="00000000" w:usb3="00000000" w:csb0="00820001" w:csb1="00000000"/>
  </w:font>
  <w:font w:name="ＭＳ Ｐ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pict>
        <v:line id="_x0000_s2049" style="mso-position-vertical-relative:text;mso-position-horizontal-relative:text;position:absolute;z-index:2;" o:allowincell="t" filled="f" stroked="t" strokeweight="3.4pt" o:spt="20" from="0pt,10.850000000000001pt" to="481.85pt,10.850000000000001pt">
          <v:fill/>
          <v:textbox style="layout-flow:horizontal;" inset="2.0637499999999998mm,0.24694444444444438mm,2.0637499999999998mm,0.24694444444444438mm"/>
          <v:imagedata o:title=""/>
          <w10:wrap type="none" anchorx="text" anchory="text"/>
        </v:line>
      </w:pict>
    </w: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mso-wrap-distance-right:16pt;mso-wrap-distance-bottom:0pt;margin-top:-26.05pt;mso-position-vertical-relative:text;mso-position-horizontal-relative:text;position:absolute;height:34.5pt;mso-wrap-distance-top:0pt;width:138.15pt;mso-wrap-distance-left:16pt;margin-left:342.3pt;z-index:2;" o:spid="_x0000_s2050" o:allowincell="t" o:allowoverlap="t" filled="f" stroked="f" o:spt="75" type="#_x0000_t75">
          <v:fill/>
          <v:stroke joinstyle="miter"/>
          <v:imagedata cropleft="732f" croptop="3413f" cropright="1102f" cropbottom="2735f" o:title="" r:id="rId1"/>
          <o:lock v:ext="edit" aspectratio="t"/>
          <w10:wrap type="none" anchorx="text" anchory="text"/>
        </v:shape>
      </w:pic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bordersDoNotSurroundHeader/>
  <w:bordersDoNotSurroundFooter/>
  <w:defaultTabStop w:val="840"/>
  <w:defaultTableStyle w:val="2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paragraph" w:styleId="18">
    <w:name w:val="Normal (Web)"/>
    <w:basedOn w:val="0"/>
    <w:next w:val="1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9">
    <w:name w:val="List Number"/>
    <w:basedOn w:val="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_rels/header1.xml.rels><?xml version="1.0" encoding="UTF-8"?><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244</TotalTime>
  <Pages>2</Pages>
  <Words>41</Words>
  <Characters>1359</Characters>
  <Application>JUST Note</Application>
  <Lines>78</Lines>
  <Paragraphs>46</Paragraphs>
  <CharactersWithSpaces>1370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2008-10-08T07:29:00Z</cp:lastPrinted>
  <dcterms:created xsi:type="dcterms:W3CDTF">2008-11-14T03:57:00Z</dcterms:created>
  <dcterms:modified xsi:type="dcterms:W3CDTF">2023-07-19T11:26:47Z</dcterms:modified>
  <cp:revision>44</cp:revision>
</cp:coreProperties>
</file>