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【パブリックコメント参考資料】</w:t>
      </w:r>
    </w:p>
    <w:p>
      <w:pPr>
        <w:pStyle w:val="19"/>
        <w:spacing w:line="0" w:lineRule="atLeast"/>
        <w:rPr>
          <w:rFonts w:hint="eastAsia" w:ascii="ＭＳ 明朝" w:hAnsi="ＭＳ 明朝" w:eastAsia="ＭＳ 明朝"/>
          <w:sz w:val="24"/>
        </w:rPr>
      </w:pPr>
    </w:p>
    <w:p>
      <w:pPr>
        <w:pStyle w:val="19"/>
        <w:spacing w:line="0" w:lineRule="atLeast"/>
        <w:ind w:left="420" w:leftChars="200" w:right="420" w:rightChars="200"/>
        <w:jc w:val="center"/>
        <w:rPr>
          <w:rFonts w:hint="eastAsia" w:ascii="HGS創英角ｺﾞｼｯｸUB" w:hAnsi="HGS創英角ｺﾞｼｯｸUB" w:eastAsia="HGS創英角ｺﾞｼｯｸUB"/>
          <w:b w:val="0"/>
          <w:sz w:val="28"/>
        </w:rPr>
      </w:pPr>
      <w:r>
        <w:rPr>
          <w:rFonts w:hint="default"/>
        </w:rPr>
        <w:pict>
          <v:shapetype id="_x0000_t202" coordsize="21600,21600" o:spt="202" path="m,l,21600r21600,l21600,xe">
            <v:stroke joinstyle="miter"/>
            <v:path gradientshapeok="t" o:connecttype="rect"/>
          </v:shapetype>
          <v:shape id="_x0000_s1026" style="margin-top:-18pt;mso-position-vertical-relative:text;mso-position-horizontal-relative:text;position:absolute;height:18pt;width:63pt;margin-left:360pt;z-index:2;" filled="f" stroked="f" o:spt="202" type="#_x0000_t202">
            <v:fill/>
            <v:stroke joinstyle="miter"/>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w:r>
      <w:r>
        <w:rPr>
          <w:rFonts w:hint="eastAsia" w:ascii="HGS創英角ｺﾞｼｯｸUB" w:hAnsi="HGS創英角ｺﾞｼｯｸUB" w:eastAsia="HGS創英角ｺﾞｼｯｸUB"/>
          <w:b w:val="0"/>
          <w:sz w:val="28"/>
        </w:rPr>
        <w:t>「（仮称）箕面市手話言語条例」（素案）の考え方について</w:t>
      </w:r>
    </w:p>
    <w:p>
      <w:pPr>
        <w:pStyle w:val="19"/>
        <w:spacing w:line="0" w:lineRule="atLeast"/>
        <w:rPr>
          <w:rFonts w:hint="eastAsia" w:ascii="ＭＳ 明朝" w:hAnsi="ＭＳ 明朝" w:eastAsia="ＭＳ 明朝"/>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4"/>
      </w:tblGrid>
      <w:tr>
        <w:trPr/>
        <w:tc>
          <w:tcPr>
            <w:tcW w:w="9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0" w:lineRule="atLeast"/>
              <w:rPr>
                <w:rFonts w:hint="eastAsia"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Ⅰ</w:t>
            </w:r>
            <w:r>
              <w:rPr>
                <w:rFonts w:hint="eastAsia" w:ascii="HGS創英角ｺﾞｼｯｸUB" w:hAnsi="HGS創英角ｺﾞｼｯｸUB" w:eastAsia="HGS創英角ｺﾞｼｯｸUB"/>
                <w:sz w:val="28"/>
              </w:rPr>
              <w:t>.</w:t>
            </w:r>
            <w:r>
              <w:rPr>
                <w:rFonts w:hint="eastAsia" w:ascii="HGS創英角ｺﾞｼｯｸUB" w:hAnsi="HGS創英角ｺﾞｼｯｸUB" w:eastAsia="HGS創英角ｺﾞｼｯｸUB"/>
                <w:sz w:val="28"/>
              </w:rPr>
              <w:t>　条例の目的</w:t>
            </w:r>
          </w:p>
        </w:tc>
      </w:tr>
    </w:tbl>
    <w:p>
      <w:pPr>
        <w:pStyle w:val="19"/>
        <w:spacing w:line="0" w:lineRule="atLeast"/>
        <w:rPr>
          <w:rFonts w:hint="eastAsia" w:ascii="ＭＳ 明朝" w:hAnsi="ＭＳ 明朝" w:eastAsia="ＭＳ 明朝"/>
          <w:sz w:val="24"/>
        </w:rPr>
      </w:pPr>
    </w:p>
    <w:p>
      <w:pPr>
        <w:pStyle w:val="19"/>
        <w:spacing w:line="0" w:lineRule="atLeast"/>
        <w:ind w:firstLine="240" w:firstLineChars="100"/>
        <w:rPr>
          <w:rFonts w:hint="eastAsia" w:ascii="ＭＳ 明朝" w:hAnsi="ＭＳ 明朝" w:eastAsia="ＭＳ 明朝"/>
          <w:sz w:val="24"/>
        </w:rPr>
      </w:pPr>
      <w:r>
        <w:rPr>
          <w:rFonts w:hint="eastAsia" w:ascii="ＭＳ 明朝" w:hAnsi="ＭＳ 明朝" w:eastAsia="ＭＳ 明朝"/>
          <w:sz w:val="24"/>
        </w:rPr>
        <w:t>手話への理解の促進及び手話の普及に関し基本理念を定め、手話に関する施策の総合的かつ計画的な推進を図り、もって全ての人々が支え合い、共に生き、共に暮らす地域社会をめざすため、本条例を制定するものである。</w:t>
      </w:r>
    </w:p>
    <w:p>
      <w:pPr>
        <w:pStyle w:val="19"/>
        <w:spacing w:line="0" w:lineRule="atLeast"/>
        <w:rPr>
          <w:rFonts w:hint="eastAsia" w:ascii="ＭＳ 明朝" w:hAnsi="ＭＳ 明朝" w:eastAsia="ＭＳ 明朝"/>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4"/>
      </w:tblGrid>
      <w:tr>
        <w:trPr/>
        <w:tc>
          <w:tcPr>
            <w:tcW w:w="9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0" w:lineRule="atLeast"/>
              <w:rPr>
                <w:rFonts w:hint="eastAsia"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Ⅱ</w:t>
            </w:r>
            <w:r>
              <w:rPr>
                <w:rFonts w:hint="eastAsia" w:ascii="HGS創英角ｺﾞｼｯｸUB" w:hAnsi="HGS創英角ｺﾞｼｯｸUB" w:eastAsia="HGS創英角ｺﾞｼｯｸUB"/>
                <w:sz w:val="28"/>
              </w:rPr>
              <w:t>.</w:t>
            </w:r>
            <w:r>
              <w:rPr>
                <w:rFonts w:hint="eastAsia" w:ascii="HGS創英角ｺﾞｼｯｸUB" w:hAnsi="HGS創英角ｺﾞｼｯｸUB" w:eastAsia="HGS創英角ｺﾞｼｯｸUB"/>
                <w:sz w:val="28"/>
              </w:rPr>
              <w:t>　（仮称）箕面市手話言語条例（素案）の概要</w:t>
            </w:r>
          </w:p>
        </w:tc>
      </w:tr>
    </w:tbl>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基本理念</w:t>
      </w:r>
    </w:p>
    <w:p>
      <w:pPr>
        <w:pStyle w:val="19"/>
        <w:spacing w:line="0" w:lineRule="atLeast"/>
        <w:ind w:left="0" w:leftChars="91" w:hangingChars="245" w:firstLine="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）手話の利用機会の確保は、相互理解及び個性と人格の尊重を基本として行われなければならない。</w:t>
      </w:r>
    </w:p>
    <w:p>
      <w:pPr>
        <w:pStyle w:val="19"/>
        <w:spacing w:line="0" w:lineRule="atLeast"/>
        <w:ind w:left="0" w:leftChars="91" w:hangingChars="234" w:firstLine="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）手話を利用する人が意思疎通を円滑に図る権利は、最大限尊重されなければならない。</w:t>
      </w:r>
    </w:p>
    <w:p>
      <w:pPr>
        <w:pStyle w:val="19"/>
        <w:spacing w:line="0" w:lineRule="atLeast"/>
        <w:ind w:left="0" w:leftChars="91" w:hangingChars="234" w:firstLine="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）手話の普及は、手話が独自の言語体系と歴史的背景を有することの理解を基本として行われなければならない。</w:t>
      </w:r>
    </w:p>
    <w:p>
      <w:pPr>
        <w:pStyle w:val="19"/>
        <w:spacing w:line="0" w:lineRule="atLeast"/>
        <w:ind w:left="0" w:leftChars="0" w:firstLine="0" w:firstLineChars="80"/>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市の責務</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）市は、手話に対する市民及び事業者等の理解を促進するための施策を推進する。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）市は、ろう者が手話を選択して利用する機会が確保され、情報を取得し、利用することができる環境の整備を促進する施策を推進する。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）市は、市が主催する行事等において、手話通訳者の配置を進める施策を推進する。</w:t>
      </w: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市民の役割</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）市民は、手話に対する理解を深めるよう努める。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）市民は、ろう者が、手話を選択して利用する機会が確保され、情報を取得し、利用することが、ろう者の日常生活及び社会生活にとって必要不可欠であることを理解するよう努める。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）市民は、相互に手話を利用することを尊重するよう努める。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）市民は、手話の普及及び利用の促進に係る市の施策に協力するよう努める。</w:t>
      </w: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　事業者等の役割</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）事業者等は、手話に対する理解を深めるよう努める。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）事業者等は、ろう者が、手話を選択して利用する機会が確保され、情報を取得し、利用することが、ろう者の日常生活及び社会生活にとって必要不可欠であることを理解するよう努める。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）事業者等は、ろう者が手話</w:t>
      </w:r>
      <w:bookmarkStart w:id="0" w:name="_GoBack"/>
      <w:bookmarkEnd w:id="0"/>
      <w:r>
        <w:rPr>
          <w:rFonts w:hint="eastAsia" w:ascii="ＭＳ 明朝" w:hAnsi="ＭＳ 明朝" w:eastAsia="ＭＳ 明朝"/>
          <w:sz w:val="24"/>
        </w:rPr>
        <w:t>を利用できるよう、合理的な配慮を行うよう努める。</w:t>
      </w:r>
    </w:p>
    <w:p>
      <w:pPr>
        <w:pStyle w:val="19"/>
        <w:spacing w:line="0" w:lineRule="atLeast"/>
        <w:ind w:left="810" w:leftChars="100" w:hanging="600" w:hangingChars="25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）事業者等は、手話の普及及び利用の促進に係る市の施策に協力するよう努める。</w:t>
      </w: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5</w:t>
      </w:r>
      <w:r>
        <w:rPr>
          <w:rFonts w:hint="eastAsia" w:ascii="ＭＳ 明朝" w:hAnsi="ＭＳ 明朝" w:eastAsia="ＭＳ 明朝"/>
          <w:sz w:val="24"/>
        </w:rPr>
        <w:t>　意見の聴取</w:t>
      </w:r>
    </w:p>
    <w:p>
      <w:pPr>
        <w:pStyle w:val="19"/>
        <w:spacing w:line="0" w:lineRule="atLeast"/>
        <w:ind w:left="0" w:leftChars="114" w:hangingChars="236" w:firstLine="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）市は、市障害福祉計画等の策定又は変更の機会において、各施策の内容の検討及び見直しを行うに当たり、ろう者並びにその他の関係者及び関係団体の意見を聴くものとする。</w:t>
      </w: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6</w:t>
      </w:r>
      <w:r>
        <w:rPr>
          <w:rFonts w:hint="eastAsia" w:ascii="ＭＳ 明朝" w:hAnsi="ＭＳ 明朝" w:eastAsia="ＭＳ 明朝"/>
          <w:sz w:val="24"/>
        </w:rPr>
        <w:t>　財政上の措置</w:t>
      </w:r>
    </w:p>
    <w:p>
      <w:pPr>
        <w:pStyle w:val="19"/>
        <w:spacing w:line="0" w:lineRule="atLeast"/>
        <w:ind w:left="810" w:leftChars="171" w:hanging="451" w:hangingChars="188"/>
        <w:rPr>
          <w:rFonts w:hint="eastAsia" w:ascii="ＭＳ 明朝" w:hAnsi="ＭＳ 明朝" w:eastAsia="ＭＳ 明朝"/>
          <w:sz w:val="24"/>
        </w:rPr>
      </w:pPr>
      <w:r>
        <w:rPr>
          <w:rFonts w:hint="eastAsia" w:ascii="ＭＳ 明朝" w:hAnsi="ＭＳ 明朝" w:eastAsia="ＭＳ 明朝"/>
          <w:sz w:val="24"/>
        </w:rPr>
        <w:t xml:space="preserve">(1) </w:t>
      </w:r>
      <w:r>
        <w:rPr>
          <w:rFonts w:hint="eastAsia" w:ascii="ＭＳ 明朝" w:hAnsi="ＭＳ 明朝" w:eastAsia="ＭＳ 明朝"/>
          <w:sz w:val="24"/>
        </w:rPr>
        <w:t>市は、各施策を推進するため、予算の範囲内において、必要な財政上の措置を講ずるものとする。</w:t>
      </w:r>
    </w:p>
    <w:p>
      <w:pPr>
        <w:pStyle w:val="19"/>
        <w:spacing w:line="0" w:lineRule="atLeast"/>
        <w:rPr>
          <w:rFonts w:hint="eastAsia" w:ascii="ＭＳ 明朝" w:hAnsi="ＭＳ 明朝" w:eastAsia="ＭＳ 明朝"/>
          <w:sz w:val="24"/>
        </w:rPr>
      </w:pPr>
    </w:p>
    <w:p>
      <w:pPr>
        <w:pStyle w:val="19"/>
        <w:spacing w:line="0" w:lineRule="atLeast"/>
        <w:rPr>
          <w:rFonts w:hint="eastAsia" w:ascii="ＭＳ 明朝" w:hAnsi="ＭＳ 明朝" w:eastAsia="ＭＳ 明朝"/>
          <w:sz w:val="24"/>
        </w:rPr>
      </w:pPr>
      <w:r>
        <w:rPr>
          <w:rFonts w:hint="eastAsia" w:ascii="ＭＳ 明朝" w:hAnsi="ＭＳ 明朝" w:eastAsia="ＭＳ 明朝"/>
          <w:sz w:val="24"/>
        </w:rPr>
        <w:t>7</w:t>
      </w:r>
      <w:r>
        <w:rPr>
          <w:rFonts w:hint="eastAsia" w:ascii="ＭＳ 明朝" w:hAnsi="ＭＳ 明朝" w:eastAsia="ＭＳ 明朝"/>
          <w:sz w:val="24"/>
        </w:rPr>
        <w:t>　手話の利用環境の整備等</w:t>
      </w:r>
    </w:p>
    <w:p>
      <w:pPr>
        <w:pStyle w:val="19"/>
        <w:spacing w:line="0" w:lineRule="atLeast"/>
        <w:ind w:left="810" w:leftChars="117" w:hanging="564" w:hangingChars="235"/>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）手話を学ぶ機会の提供</w:t>
      </w:r>
    </w:p>
    <w:p>
      <w:pPr>
        <w:pStyle w:val="19"/>
        <w:spacing w:line="0" w:lineRule="atLeast"/>
        <w:ind w:left="810" w:leftChars="117" w:hanging="564" w:hangingChars="235"/>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）学校等による手話に対する理解の促進</w:t>
      </w:r>
    </w:p>
    <w:p>
      <w:pPr>
        <w:pStyle w:val="19"/>
        <w:spacing w:line="0" w:lineRule="atLeast"/>
        <w:ind w:left="810" w:leftChars="117" w:hanging="564" w:hangingChars="235"/>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）事業者等による手話に対する理解の促進</w:t>
      </w:r>
    </w:p>
    <w:p>
      <w:pPr>
        <w:pStyle w:val="19"/>
        <w:spacing w:line="0" w:lineRule="atLeast"/>
        <w:rPr>
          <w:rFonts w:hint="eastAsia" w:ascii="Meiryo UI" w:hAnsi="Meiryo UI" w:eastAsia="Meiryo UI"/>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4"/>
      </w:tblGrid>
      <w:tr>
        <w:trPr/>
        <w:tc>
          <w:tcPr>
            <w:tcW w:w="98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0" w:lineRule="atLeast"/>
              <w:rPr>
                <w:rFonts w:hint="eastAsia" w:ascii="HGS創英角ｺﾞｼｯｸUB" w:hAnsi="HGS創英角ｺﾞｼｯｸUB" w:eastAsia="HGS創英角ｺﾞｼｯｸUB"/>
                <w:sz w:val="28"/>
              </w:rPr>
            </w:pPr>
            <w:r>
              <w:rPr>
                <w:rFonts w:hint="eastAsia" w:ascii="HGS創英角ｺﾞｼｯｸUB" w:hAnsi="HGS創英角ｺﾞｼｯｸUB" w:eastAsia="HGS創英角ｺﾞｼｯｸUB"/>
                <w:sz w:val="28"/>
              </w:rPr>
              <w:t>Ⅲ</w:t>
            </w:r>
            <w:r>
              <w:rPr>
                <w:rFonts w:hint="eastAsia" w:ascii="HGS創英角ｺﾞｼｯｸUB" w:hAnsi="HGS創英角ｺﾞｼｯｸUB" w:eastAsia="HGS創英角ｺﾞｼｯｸUB"/>
                <w:sz w:val="28"/>
              </w:rPr>
              <w:t>.</w:t>
            </w:r>
            <w:r>
              <w:rPr>
                <w:rFonts w:hint="eastAsia" w:ascii="HGS創英角ｺﾞｼｯｸUB" w:hAnsi="HGS創英角ｺﾞｼｯｸUB" w:eastAsia="HGS創英角ｺﾞｼｯｸUB"/>
                <w:sz w:val="28"/>
              </w:rPr>
              <w:t>　スケジュール</w:t>
            </w:r>
          </w:p>
        </w:tc>
      </w:tr>
    </w:tbl>
    <w:p>
      <w:pPr>
        <w:pStyle w:val="19"/>
        <w:spacing w:line="0" w:lineRule="atLeast"/>
        <w:rPr>
          <w:rFonts w:hint="eastAsia" w:ascii="Meiryo UI" w:hAnsi="Meiryo UI" w:eastAsia="Meiryo UI"/>
          <w:sz w:val="24"/>
        </w:rPr>
      </w:pPr>
    </w:p>
    <w:tbl>
      <w:tblPr>
        <w:tblStyle w:val="11"/>
        <w:tblW w:w="0" w:type="auto"/>
        <w:jc w:val="left"/>
        <w:tblInd w:w="3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2700"/>
        <w:gridCol w:w="6948"/>
      </w:tblGrid>
      <w:tr>
        <w:trPr>
          <w:trHeight w:val="360" w:hRule="atLeast"/>
        </w:trPr>
        <w:tc>
          <w:tcPr>
            <w:tcW w:w="2700"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8</w:t>
            </w:r>
            <w:r>
              <w:rPr>
                <w:rFonts w:hint="eastAsia" w:ascii="ＭＳ 明朝" w:hAnsi="ＭＳ 明朝" w:eastAsia="ＭＳ 明朝"/>
                <w:sz w:val="24"/>
              </w:rPr>
              <w:t>月</w:t>
            </w:r>
          </w:p>
        </w:tc>
        <w:tc>
          <w:tcPr>
            <w:tcW w:w="6948"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パブリックコメント実施</w:t>
            </w:r>
          </w:p>
        </w:tc>
      </w:tr>
      <w:tr>
        <w:trPr>
          <w:trHeight w:val="360" w:hRule="atLeast"/>
        </w:trPr>
        <w:tc>
          <w:tcPr>
            <w:tcW w:w="2700"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9</w:t>
            </w:r>
            <w:r>
              <w:rPr>
                <w:rFonts w:hint="eastAsia" w:ascii="ＭＳ 明朝" w:hAnsi="ＭＳ 明朝" w:eastAsia="ＭＳ 明朝"/>
                <w:sz w:val="24"/>
              </w:rPr>
              <w:t>～</w:t>
            </w:r>
            <w:r>
              <w:rPr>
                <w:rFonts w:hint="eastAsia" w:ascii="ＭＳ 明朝" w:hAnsi="ＭＳ 明朝" w:eastAsia="ＭＳ 明朝"/>
                <w:sz w:val="24"/>
              </w:rPr>
              <w:t>10</w:t>
            </w:r>
            <w:r>
              <w:rPr>
                <w:rFonts w:hint="eastAsia" w:ascii="ＭＳ 明朝" w:hAnsi="ＭＳ 明朝" w:eastAsia="ＭＳ 明朝"/>
                <w:sz w:val="24"/>
              </w:rPr>
              <w:t>月</w:t>
            </w:r>
          </w:p>
          <w:p>
            <w:pPr>
              <w:pStyle w:val="0"/>
              <w:spacing w:line="0" w:lineRule="atLeast"/>
              <w:jc w:val="both"/>
              <w:rPr>
                <w:rFonts w:hint="eastAsia" w:ascii="ＭＳ 明朝" w:hAnsi="ＭＳ 明朝" w:eastAsia="ＭＳ 明朝"/>
                <w:sz w:val="24"/>
              </w:rPr>
            </w:pPr>
          </w:p>
        </w:tc>
        <w:tc>
          <w:tcPr>
            <w:tcW w:w="6948" w:type="dxa"/>
            <w:tcBorders>
              <w:top w:val="nil"/>
              <w:left w:val="nil"/>
              <w:bottom w:val="nil"/>
              <w:right w:val="nil"/>
              <w:tl2br w:val="nil"/>
              <w:tr2bl w:val="nil"/>
            </w:tcBorders>
            <w:shd w:val="clear" w:color="auto" w:fill="auto"/>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パブリックコメントの意見整理</w:t>
            </w:r>
          </w:p>
          <w:p>
            <w:pPr>
              <w:pStyle w:val="0"/>
              <w:jc w:val="both"/>
              <w:rPr>
                <w:rFonts w:hint="eastAsia" w:ascii="ＭＳ 明朝" w:hAnsi="ＭＳ 明朝" w:eastAsia="ＭＳ 明朝"/>
                <w:sz w:val="24"/>
              </w:rPr>
            </w:pPr>
            <w:r>
              <w:rPr>
                <w:rFonts w:hint="eastAsia" w:ascii="ＭＳ 明朝" w:hAnsi="ＭＳ 明朝" w:eastAsia="ＭＳ 明朝"/>
                <w:sz w:val="24"/>
              </w:rPr>
              <w:t>条例案の修正検討、確定</w:t>
            </w:r>
          </w:p>
        </w:tc>
      </w:tr>
      <w:tr>
        <w:trPr>
          <w:trHeight w:val="360" w:hRule="atLeast"/>
        </w:trPr>
        <w:tc>
          <w:tcPr>
            <w:tcW w:w="2700"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10</w:t>
            </w:r>
            <w:r>
              <w:rPr>
                <w:rFonts w:hint="eastAsia" w:ascii="ＭＳ 明朝" w:hAnsi="ＭＳ 明朝" w:eastAsia="ＭＳ 明朝"/>
                <w:sz w:val="24"/>
              </w:rPr>
              <w:t>月</w:t>
            </w:r>
          </w:p>
        </w:tc>
        <w:tc>
          <w:tcPr>
            <w:tcW w:w="6948"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パブリックコメント実施結果の公表</w:t>
            </w:r>
          </w:p>
        </w:tc>
      </w:tr>
      <w:tr>
        <w:trPr>
          <w:trHeight w:val="360" w:hRule="atLeast"/>
        </w:trPr>
        <w:tc>
          <w:tcPr>
            <w:tcW w:w="2700"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w:t>
            </w:r>
            <w:r>
              <w:rPr>
                <w:rFonts w:hint="eastAsia" w:ascii="ＭＳ 明朝" w:hAnsi="ＭＳ 明朝" w:eastAsia="ＭＳ 明朝"/>
                <w:sz w:val="24"/>
              </w:rPr>
              <w:t>12</w:t>
            </w:r>
            <w:r>
              <w:rPr>
                <w:rFonts w:hint="eastAsia" w:ascii="ＭＳ 明朝" w:hAnsi="ＭＳ 明朝" w:eastAsia="ＭＳ 明朝"/>
                <w:sz w:val="24"/>
              </w:rPr>
              <w:t>月</w:t>
            </w:r>
          </w:p>
        </w:tc>
        <w:tc>
          <w:tcPr>
            <w:tcW w:w="6948" w:type="dxa"/>
            <w:tcBorders>
              <w:top w:val="nil"/>
              <w:left w:val="nil"/>
              <w:bottom w:val="nil"/>
              <w:right w:val="nil"/>
              <w:tl2br w:val="nil"/>
              <w:tr2bl w:val="nil"/>
            </w:tcBorders>
            <w:shd w:val="clear" w:color="auto" w:fill="auto"/>
            <w:vAlign w:val="center"/>
          </w:tcPr>
          <w:p>
            <w:pPr>
              <w:pStyle w:val="0"/>
              <w:spacing w:line="0" w:lineRule="atLeast"/>
              <w:jc w:val="both"/>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年第</w:t>
            </w:r>
            <w:r>
              <w:rPr>
                <w:rFonts w:hint="eastAsia" w:ascii="ＭＳ 明朝" w:hAnsi="ＭＳ 明朝" w:eastAsia="ＭＳ 明朝"/>
                <w:sz w:val="24"/>
              </w:rPr>
              <w:t>4</w:t>
            </w:r>
            <w:r>
              <w:rPr>
                <w:rFonts w:hint="eastAsia" w:ascii="ＭＳ 明朝" w:hAnsi="ＭＳ 明朝" w:eastAsia="ＭＳ 明朝"/>
                <w:sz w:val="24"/>
              </w:rPr>
              <w:t>回箕面市議会定例会に条例案を提案</w:t>
            </w:r>
          </w:p>
        </w:tc>
      </w:tr>
    </w:tbl>
    <w:p>
      <w:pPr>
        <w:pStyle w:val="19"/>
        <w:spacing w:line="0" w:lineRule="atLeast"/>
        <w:rPr>
          <w:rFonts w:hint="eastAsia" w:ascii="Meiryo UI" w:hAnsi="Meiryo UI" w:eastAsia="Meiryo UI"/>
          <w:sz w:val="24"/>
        </w:rPr>
      </w:pPr>
    </w:p>
    <w:sectPr>
      <w:headerReference r:id="rId5" w:type="default"/>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小塚ゴシック Pr6N R">
    <w:panose1 w:val="00000000000000000000"/>
    <w:charset w:val="80"/>
    <w:family w:val="swiss"/>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Batang">
    <w:panose1 w:val="00000000000000000000"/>
    <w:charset w:val="80"/>
    <w:family w:val="roman"/>
    <w:notTrueType/>
    <w:pitch w:val="fixed"/>
    <w:sig w:usb0="00000000" w:usb1="00000000" w:usb2="00000000" w:usb3="00000000" w:csb0="01008200" w:csb1="00000000"/>
  </w:font>
  <w:font w:name="BatangChe">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pict>
        <v:line id="_x0000_s2049" style="mso-position-vertical-relative:text;mso-position-horizontal-relative:text;position:absolute;z-index:2;" o:allowincell="t" filled="f" stroked="t" strokeweight="3.4pt" o:spt="20" from="0pt,10.850000000000001pt" to="481.85pt,10.850000000000001pt">
          <v:fill/>
          <v:textbox style="layout-flow:horizontal;" inset="2.0637499999999998mm,0.24694444444444438mm,2.0637499999999998mm,0.24694444444444438mm"/>
          <v:imagedata o:title=""/>
          <w10:wrap type="none" anchorx="text" anchory="text"/>
        </v:line>
      </w:pict>
    </w: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mso-wrap-distance-right:16pt;mso-wrap-distance-bottom:0pt;margin-top:-29.45pt;mso-position-vertical-relative:text;mso-position-horizontal-relative:text;position:absolute;height:36.85pt;mso-wrap-distance-top:0pt;width:147.5pt;mso-wrap-distance-left:16pt;margin-left:334.35pt;z-index:3;" o:spid="_x0000_s2050" o:allowincell="t" o:allowoverlap="t" filled="f" stroked="f" o:spt="75" type="#_x0000_t75">
          <v:fill/>
          <v:stroke joinstyle="miter"/>
          <v:imagedata cropleft="732f" croptop="3413f" cropright="1102f" cropbottom="2735f" o:title="" r:id="rId1"/>
          <o:lock v:ext="edit" aspectratio="t"/>
          <w10:wrap type="none" anchorx="text" anchory="text"/>
        </v:shape>
      </w:pic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bordersDoNotSurroundHeader/>
  <w:bordersDoNotSurroundFooter/>
  <w:defaultTabStop w:val="840"/>
  <w:defaultTableStyle w:val="2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9">
    <w:name w:val="List Number"/>
    <w:basedOn w:val="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_rels/header1.xml.rels><?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2</Pages>
  <Words>37</Words>
  <Characters>1173</Characters>
  <Application>JUST Note</Application>
  <Lines>72</Lines>
  <Paragraphs>41</Paragraphs>
  <CharactersWithSpaces>1184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2008-10-08T07:29:00Z</cp:lastPrinted>
  <dcterms:created xsi:type="dcterms:W3CDTF">2008-11-14T03:57:00Z</dcterms:created>
  <dcterms:modified xsi:type="dcterms:W3CDTF">2023-07-20T08:59:13Z</dcterms:modified>
  <cp:revision>44</cp:revision>
</cp:coreProperties>
</file>