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spacing w:line="0" w:lineRule="atLeast"/>
        <w:rPr>
          <w:rFonts w:hint="eastAsia" w:ascii="ＭＳ 明朝" w:hAnsi="ＭＳ 明朝" w:eastAsia="ＭＳ 明朝"/>
          <w:sz w:val="24"/>
        </w:rPr>
      </w:pPr>
    </w:p>
    <w:p>
      <w:pPr>
        <w:pStyle w:val="19"/>
        <w:spacing w:line="0" w:lineRule="atLeast"/>
        <w:rPr>
          <w:rFonts w:hint="eastAsia" w:ascii="ＭＳ 明朝" w:hAnsi="ＭＳ 明朝" w:eastAsia="ＭＳ 明朝"/>
          <w:sz w:val="24"/>
        </w:rPr>
      </w:pPr>
      <w:r>
        <w:rPr>
          <w:rFonts w:hint="eastAsia" w:ascii="ＭＳ 明朝" w:hAnsi="ＭＳ 明朝" w:eastAsia="ＭＳ 明朝"/>
          <w:sz w:val="24"/>
        </w:rPr>
        <w:t>【パブリックコメント参考資料】</w:t>
      </w:r>
    </w:p>
    <w:p>
      <w:pPr>
        <w:pStyle w:val="19"/>
        <w:spacing w:line="0" w:lineRule="atLeast"/>
        <w:rPr>
          <w:rFonts w:hint="eastAsia" w:ascii="ＭＳ 明朝" w:hAnsi="ＭＳ 明朝" w:eastAsia="ＭＳ 明朝"/>
          <w:sz w:val="24"/>
        </w:rPr>
      </w:pPr>
    </w:p>
    <w:p>
      <w:pPr>
        <w:pStyle w:val="19"/>
        <w:spacing w:line="0" w:lineRule="atLeast"/>
        <w:ind w:left="420" w:leftChars="200" w:right="420" w:rightChars="200"/>
        <w:jc w:val="center"/>
        <w:rPr>
          <w:rFonts w:hint="eastAsia" w:ascii="HGS創英角ｺﾞｼｯｸUB" w:hAnsi="HGS創英角ｺﾞｼｯｸUB" w:eastAsia="HGS創英角ｺﾞｼｯｸUB"/>
          <w:b w:val="0"/>
          <w:sz w:val="28"/>
        </w:rPr>
      </w:pPr>
      <w:r>
        <w:rPr>
          <w:rFonts w:hint="default"/>
        </w:rPr>
        <w:pict>
          <v:shapetype id="_x0000_t202" coordsize="21600,21600" o:spt="202" path="m,l,21600r21600,l21600,xe">
            <v:stroke joinstyle="miter"/>
            <v:path gradientshapeok="t" o:connecttype="rect"/>
          </v:shapetype>
          <v:shape id="_x0000_s1026" style="margin-top:-18pt;mso-position-vertical-relative:text;mso-position-horizontal-relative:text;position:absolute;height:18pt;width:63pt;margin-left:360pt;z-index:2;" filled="f" stroked="f" o:spt="202" type="#_x0000_t202">
            <v:fill/>
            <v:stroke joinstyle="miter"/>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w:r>
      <w:r>
        <w:rPr>
          <w:rFonts w:hint="eastAsia" w:ascii="HGS創英角ｺﾞｼｯｸUB" w:hAnsi="HGS創英角ｺﾞｼｯｸUB" w:eastAsia="HGS創英角ｺﾞｼｯｸUB"/>
          <w:b w:val="0"/>
          <w:sz w:val="28"/>
        </w:rPr>
        <w:t>「（仮称）箕面市手話言語条例」（素案）の考え方について</w:t>
      </w:r>
    </w:p>
    <w:p>
      <w:pPr>
        <w:pStyle w:val="19"/>
        <w:spacing w:line="0" w:lineRule="atLeast"/>
        <w:rPr>
          <w:rFonts w:hint="eastAsia" w:ascii="ＭＳ 明朝" w:hAnsi="ＭＳ 明朝" w:eastAsia="ＭＳ 明朝"/>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854"/>
      </w:tblGrid>
      <w:tr>
        <w:trPr/>
        <w:tc>
          <w:tcPr>
            <w:tcW w:w="98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0" w:lineRule="atLeast"/>
              <w:rPr>
                <w:rFonts w:hint="eastAsia"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Ⅰ</w:t>
            </w:r>
            <w:r>
              <w:rPr>
                <w:rFonts w:hint="eastAsia" w:ascii="HGS創英角ｺﾞｼｯｸUB" w:hAnsi="HGS創英角ｺﾞｼｯｸUB" w:eastAsia="HGS創英角ｺﾞｼｯｸUB"/>
                <w:sz w:val="28"/>
              </w:rPr>
              <w:t>.</w:t>
            </w:r>
            <w:r>
              <w:rPr>
                <w:rFonts w:hint="eastAsia" w:ascii="HGS創英角ｺﾞｼｯｸUB" w:hAnsi="HGS創英角ｺﾞｼｯｸUB" w:eastAsia="HGS創英角ｺﾞｼｯｸUB"/>
                <w:sz w:val="28"/>
              </w:rPr>
              <w:t>　条例の目的</w:t>
            </w:r>
          </w:p>
        </w:tc>
      </w:tr>
    </w:tbl>
    <w:p>
      <w:pPr>
        <w:pStyle w:val="19"/>
        <w:spacing w:line="0" w:lineRule="atLeast"/>
        <w:rPr>
          <w:rFonts w:hint="eastAsia" w:ascii="ＭＳ 明朝" w:hAnsi="ＭＳ 明朝" w:eastAsia="ＭＳ 明朝"/>
          <w:sz w:val="24"/>
        </w:rPr>
      </w:pPr>
    </w:p>
    <w:p>
      <w:pPr>
        <w:pStyle w:val="19"/>
        <w:spacing w:line="0" w:lineRule="atLeast"/>
        <w:ind w:firstLine="240" w:firstLineChars="100"/>
        <w:rPr>
          <w:rFonts w:hint="eastAsia" w:ascii="ＭＳ 明朝" w:hAnsi="ＭＳ 明朝" w:eastAsia="ＭＳ 明朝"/>
          <w:sz w:val="24"/>
        </w:rPr>
      </w:pPr>
      <w:r>
        <w:rPr>
          <w:rFonts w:hint="eastAsia" w:ascii="ＭＳ 明朝" w:hAnsi="ＭＳ 明朝" w:eastAsia="ＭＳ 明朝"/>
          <w:sz w:val="24"/>
        </w:rPr>
        <w:t>手話への理解の促進及び手話の普及に関し基本理念を定め、手話に関する施策の総合的かつ計画的な推進を図り、もって全ての人々が支え合い、共に生き、共に暮らす地域社会をめざすため、本条例を制定するものである。</w:t>
      </w:r>
    </w:p>
    <w:p>
      <w:pPr>
        <w:pStyle w:val="19"/>
        <w:spacing w:line="0" w:lineRule="atLeast"/>
        <w:rPr>
          <w:rFonts w:hint="eastAsia" w:ascii="ＭＳ 明朝" w:hAnsi="ＭＳ 明朝" w:eastAsia="ＭＳ 明朝"/>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854"/>
      </w:tblGrid>
      <w:tr>
        <w:trPr/>
        <w:tc>
          <w:tcPr>
            <w:tcW w:w="98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0" w:lineRule="atLeast"/>
              <w:rPr>
                <w:rFonts w:hint="eastAsia"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Ⅱ</w:t>
            </w:r>
            <w:r>
              <w:rPr>
                <w:rFonts w:hint="eastAsia" w:ascii="HGS創英角ｺﾞｼｯｸUB" w:hAnsi="HGS創英角ｺﾞｼｯｸUB" w:eastAsia="HGS創英角ｺﾞｼｯｸUB"/>
                <w:sz w:val="28"/>
              </w:rPr>
              <w:t>.</w:t>
            </w:r>
            <w:r>
              <w:rPr>
                <w:rFonts w:hint="eastAsia" w:ascii="HGS創英角ｺﾞｼｯｸUB" w:hAnsi="HGS創英角ｺﾞｼｯｸUB" w:eastAsia="HGS創英角ｺﾞｼｯｸUB"/>
                <w:sz w:val="28"/>
              </w:rPr>
              <w:t>　（仮称）箕面市手話言語条例（素案）の概要</w:t>
            </w:r>
          </w:p>
        </w:tc>
      </w:tr>
    </w:tbl>
    <w:p>
      <w:pPr>
        <w:pStyle w:val="19"/>
        <w:spacing w:line="0" w:lineRule="atLeast"/>
        <w:rPr>
          <w:rFonts w:hint="eastAsia" w:ascii="ＭＳ 明朝" w:hAnsi="ＭＳ 明朝" w:eastAsia="ＭＳ 明朝"/>
          <w:sz w:val="24"/>
        </w:rPr>
      </w:pPr>
    </w:p>
    <w:p>
      <w:pPr>
        <w:pStyle w:val="19"/>
        <w:spacing w:line="0" w:lineRule="atLeast"/>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　基本理念</w:t>
      </w:r>
    </w:p>
    <w:p>
      <w:pPr>
        <w:pStyle w:val="19"/>
        <w:spacing w:line="0" w:lineRule="atLeast"/>
        <w:ind w:left="0" w:leftChars="91" w:hangingChars="245" w:firstLine="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w:t>
      </w:r>
      <w:r>
        <w:rPr>
          <w:rFonts w:hint="eastAsia" w:ascii="ＭＳ 明朝" w:hAnsi="ＭＳ 明朝" w:eastAsia="ＭＳ 明朝"/>
          <w:sz w:val="24"/>
        </w:rPr>
        <w:t>）手話の利用機会の確保は、相互理解及び個性と人格の尊重を基本として行われなければならない。</w:t>
      </w:r>
    </w:p>
    <w:p>
      <w:pPr>
        <w:pStyle w:val="19"/>
        <w:spacing w:line="0" w:lineRule="atLeast"/>
        <w:ind w:left="0" w:leftChars="91" w:hangingChars="234" w:firstLine="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）手話を利用する人が意思疎通を円滑に図る権利は、最大限尊重されなければならない。</w:t>
      </w:r>
    </w:p>
    <w:p>
      <w:pPr>
        <w:pStyle w:val="19"/>
        <w:spacing w:line="0" w:lineRule="atLeast"/>
        <w:ind w:left="0" w:leftChars="91" w:hangingChars="234" w:firstLine="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）手話の普及は、手話が独自の言語体系と歴史的背景を有することの理解を基本として行われなければならない。</w:t>
      </w:r>
    </w:p>
    <w:p>
      <w:pPr>
        <w:pStyle w:val="19"/>
        <w:spacing w:line="0" w:lineRule="atLeast"/>
        <w:ind w:left="0" w:leftChars="0" w:firstLine="0" w:firstLineChars="80"/>
        <w:rPr>
          <w:rFonts w:hint="eastAsia" w:ascii="ＭＳ 明朝" w:hAnsi="ＭＳ 明朝" w:eastAsia="ＭＳ 明朝"/>
          <w:sz w:val="24"/>
        </w:rPr>
      </w:pPr>
    </w:p>
    <w:p>
      <w:pPr>
        <w:pStyle w:val="19"/>
        <w:spacing w:line="0" w:lineRule="atLeast"/>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　市の責務</w:t>
      </w:r>
    </w:p>
    <w:p>
      <w:pPr>
        <w:pStyle w:val="19"/>
        <w:spacing w:line="0" w:lineRule="atLeast"/>
        <w:ind w:left="810" w:leftChars="100" w:hanging="600" w:hangingChars="25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w:t>
      </w:r>
      <w:r>
        <w:rPr>
          <w:rFonts w:hint="eastAsia" w:ascii="ＭＳ 明朝" w:hAnsi="ＭＳ 明朝" w:eastAsia="ＭＳ 明朝"/>
          <w:sz w:val="24"/>
        </w:rPr>
        <w:t>）市は、手話に対する市民及び事業者等の理解を促進するための施策を推進する。</w:t>
      </w:r>
    </w:p>
    <w:p>
      <w:pPr>
        <w:pStyle w:val="19"/>
        <w:spacing w:line="0" w:lineRule="atLeast"/>
        <w:ind w:left="810" w:leftChars="100" w:hanging="600" w:hangingChars="25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）市は、ろう者が手話を選択して利用する機会が確保され、情報を取得し、利用することができる環境の整備を促進する施策を推進する。</w:t>
      </w:r>
    </w:p>
    <w:p>
      <w:pPr>
        <w:pStyle w:val="19"/>
        <w:spacing w:line="0" w:lineRule="atLeast"/>
        <w:ind w:left="810" w:leftChars="100" w:hanging="600" w:hangingChars="25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）市は、市が主催する行事等において、手話通訳者の配置を進める施策を推進する。</w:t>
      </w:r>
    </w:p>
    <w:p>
      <w:pPr>
        <w:pStyle w:val="19"/>
        <w:spacing w:line="0" w:lineRule="atLeast"/>
        <w:rPr>
          <w:rFonts w:hint="eastAsia" w:ascii="ＭＳ 明朝" w:hAnsi="ＭＳ 明朝" w:eastAsia="ＭＳ 明朝"/>
          <w:sz w:val="24"/>
        </w:rPr>
      </w:pPr>
    </w:p>
    <w:p>
      <w:pPr>
        <w:pStyle w:val="19"/>
        <w:spacing w:line="0" w:lineRule="atLeast"/>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　市民の役割</w:t>
      </w:r>
    </w:p>
    <w:p>
      <w:pPr>
        <w:pStyle w:val="19"/>
        <w:spacing w:line="0" w:lineRule="atLeast"/>
        <w:ind w:left="810" w:leftChars="100" w:hanging="600" w:hangingChars="25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w:t>
      </w:r>
      <w:r>
        <w:rPr>
          <w:rFonts w:hint="eastAsia" w:ascii="ＭＳ 明朝" w:hAnsi="ＭＳ 明朝" w:eastAsia="ＭＳ 明朝"/>
          <w:sz w:val="24"/>
        </w:rPr>
        <w:t>）市民は、手話に対する理解を深めるよう努める。</w:t>
      </w:r>
    </w:p>
    <w:p>
      <w:pPr>
        <w:pStyle w:val="19"/>
        <w:spacing w:line="0" w:lineRule="atLeast"/>
        <w:ind w:left="810" w:leftChars="100" w:hanging="600" w:hangingChars="25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）市民は、ろう者が、手話を選択して利用する機会が確保され、情報を取得し、利用することが、ろう者の日常生活及び社会生活にとって必要不可欠であることを理解するよう努める。</w:t>
      </w:r>
    </w:p>
    <w:p>
      <w:pPr>
        <w:pStyle w:val="19"/>
        <w:spacing w:line="0" w:lineRule="atLeast"/>
        <w:ind w:left="810" w:leftChars="100" w:hanging="600" w:hangingChars="25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）市民は、相互に手話を利用することを尊重するよう努める。</w:t>
      </w:r>
    </w:p>
    <w:p>
      <w:pPr>
        <w:pStyle w:val="19"/>
        <w:spacing w:line="0" w:lineRule="atLeast"/>
        <w:ind w:left="810" w:leftChars="100" w:hanging="600" w:hangingChars="25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4</w:t>
      </w:r>
      <w:r>
        <w:rPr>
          <w:rFonts w:hint="eastAsia" w:ascii="ＭＳ 明朝" w:hAnsi="ＭＳ 明朝" w:eastAsia="ＭＳ 明朝"/>
          <w:sz w:val="24"/>
        </w:rPr>
        <w:t>）市民は、手話の普及及び利用の促進に係る市の施策に協力するよう努める。</w:t>
      </w:r>
    </w:p>
    <w:p>
      <w:pPr>
        <w:pStyle w:val="19"/>
        <w:spacing w:line="0" w:lineRule="atLeast"/>
        <w:rPr>
          <w:rFonts w:hint="eastAsia" w:ascii="ＭＳ 明朝" w:hAnsi="ＭＳ 明朝" w:eastAsia="ＭＳ 明朝"/>
          <w:sz w:val="24"/>
        </w:rPr>
      </w:pPr>
    </w:p>
    <w:p>
      <w:pPr>
        <w:pStyle w:val="19"/>
        <w:spacing w:line="0" w:lineRule="atLeast"/>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　事業者等の役割</w:t>
      </w:r>
    </w:p>
    <w:p>
      <w:pPr>
        <w:pStyle w:val="19"/>
        <w:spacing w:line="0" w:lineRule="atLeast"/>
        <w:ind w:left="810" w:leftChars="100" w:hanging="600" w:hangingChars="25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w:t>
      </w:r>
      <w:r>
        <w:rPr>
          <w:rFonts w:hint="eastAsia" w:ascii="ＭＳ 明朝" w:hAnsi="ＭＳ 明朝" w:eastAsia="ＭＳ 明朝"/>
          <w:sz w:val="24"/>
        </w:rPr>
        <w:t>）事業者等は、手話に対する理解を深めるよう努める。</w:t>
      </w:r>
    </w:p>
    <w:p>
      <w:pPr>
        <w:pStyle w:val="19"/>
        <w:spacing w:line="0" w:lineRule="atLeast"/>
        <w:ind w:left="810" w:leftChars="100" w:hanging="600" w:hangingChars="25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）事業者等は、ろう者が、手話を選択して利用する機会が確保され、情報を取得し、利用することが、ろう者の日常生活及び社会生活にとって必要不可欠であることを理解するよう努める。</w:t>
      </w:r>
    </w:p>
    <w:p>
      <w:pPr>
        <w:pStyle w:val="19"/>
        <w:spacing w:line="0" w:lineRule="atLeast"/>
        <w:ind w:left="810" w:leftChars="100" w:hanging="600" w:hangingChars="25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）事業者等は、ろう者が手話</w:t>
      </w:r>
      <w:bookmarkStart w:id="0" w:name="_GoBack"/>
      <w:bookmarkEnd w:id="0"/>
      <w:r>
        <w:rPr>
          <w:rFonts w:hint="eastAsia" w:ascii="ＭＳ 明朝" w:hAnsi="ＭＳ 明朝" w:eastAsia="ＭＳ 明朝"/>
          <w:sz w:val="24"/>
        </w:rPr>
        <w:t>を利用できるよう、合理的な配慮を行うよう努める。</w:t>
      </w:r>
    </w:p>
    <w:p>
      <w:pPr>
        <w:pStyle w:val="19"/>
        <w:spacing w:line="0" w:lineRule="atLeast"/>
        <w:ind w:left="810" w:leftChars="100" w:hanging="600" w:hangingChars="25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4</w:t>
      </w:r>
      <w:r>
        <w:rPr>
          <w:rFonts w:hint="eastAsia" w:ascii="ＭＳ 明朝" w:hAnsi="ＭＳ 明朝" w:eastAsia="ＭＳ 明朝"/>
          <w:sz w:val="24"/>
        </w:rPr>
        <w:t>）事業者等は、手話の普及及び利用の促進に係る市の施策に協力するよう努める。</w:t>
      </w:r>
    </w:p>
    <w:p>
      <w:pPr>
        <w:pStyle w:val="19"/>
        <w:spacing w:line="0" w:lineRule="atLeast"/>
        <w:rPr>
          <w:rFonts w:hint="eastAsia" w:ascii="ＭＳ 明朝" w:hAnsi="ＭＳ 明朝" w:eastAsia="ＭＳ 明朝"/>
          <w:sz w:val="24"/>
        </w:rPr>
      </w:pPr>
    </w:p>
    <w:p>
      <w:pPr>
        <w:pStyle w:val="19"/>
        <w:spacing w:line="0" w:lineRule="atLeast"/>
        <w:rPr>
          <w:rFonts w:hint="eastAsia" w:ascii="ＭＳ 明朝" w:hAnsi="ＭＳ 明朝" w:eastAsia="ＭＳ 明朝"/>
          <w:sz w:val="24"/>
        </w:rPr>
      </w:pPr>
    </w:p>
    <w:p>
      <w:pPr>
        <w:pStyle w:val="19"/>
        <w:spacing w:line="0" w:lineRule="atLeast"/>
        <w:rPr>
          <w:rFonts w:hint="eastAsia" w:ascii="ＭＳ 明朝" w:hAnsi="ＭＳ 明朝" w:eastAsia="ＭＳ 明朝"/>
          <w:sz w:val="24"/>
        </w:rPr>
      </w:pPr>
    </w:p>
    <w:p>
      <w:pPr>
        <w:pStyle w:val="19"/>
        <w:spacing w:line="0" w:lineRule="atLeast"/>
        <w:rPr>
          <w:rFonts w:hint="eastAsia" w:ascii="ＭＳ 明朝" w:hAnsi="ＭＳ 明朝" w:eastAsia="ＭＳ 明朝"/>
          <w:sz w:val="24"/>
        </w:rPr>
      </w:pPr>
    </w:p>
    <w:p>
      <w:pPr>
        <w:pStyle w:val="19"/>
        <w:spacing w:line="0" w:lineRule="atLeast"/>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　意見の聴取</w:t>
      </w:r>
    </w:p>
    <w:p>
      <w:pPr>
        <w:pStyle w:val="19"/>
        <w:spacing w:line="0" w:lineRule="atLeast"/>
        <w:ind w:left="0" w:leftChars="114" w:hangingChars="236" w:firstLine="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w:t>
      </w:r>
      <w:r>
        <w:rPr>
          <w:rFonts w:hint="eastAsia" w:ascii="ＭＳ 明朝" w:hAnsi="ＭＳ 明朝" w:eastAsia="ＭＳ 明朝"/>
          <w:sz w:val="24"/>
        </w:rPr>
        <w:t>）市は、市障害福祉計画等の策定又は変更の機会において、各施策の内容の検討及び見直しを行うに当たり、ろう者並びにその他の関係者及び関係団体の意見を聴くものとする。</w:t>
      </w:r>
    </w:p>
    <w:p>
      <w:pPr>
        <w:pStyle w:val="19"/>
        <w:spacing w:line="0" w:lineRule="atLeast"/>
        <w:rPr>
          <w:rFonts w:hint="eastAsia" w:ascii="ＭＳ 明朝" w:hAnsi="ＭＳ 明朝" w:eastAsia="ＭＳ 明朝"/>
          <w:sz w:val="24"/>
        </w:rPr>
      </w:pPr>
    </w:p>
    <w:p>
      <w:pPr>
        <w:pStyle w:val="19"/>
        <w:spacing w:line="0" w:lineRule="atLeast"/>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　財政上の措置</w:t>
      </w:r>
    </w:p>
    <w:p>
      <w:pPr>
        <w:pStyle w:val="19"/>
        <w:spacing w:line="0" w:lineRule="atLeast"/>
        <w:ind w:left="810" w:leftChars="171" w:hanging="451" w:hangingChars="188"/>
        <w:rPr>
          <w:rFonts w:hint="eastAsia" w:ascii="ＭＳ 明朝" w:hAnsi="ＭＳ 明朝" w:eastAsia="ＭＳ 明朝"/>
          <w:sz w:val="24"/>
        </w:rPr>
      </w:pPr>
      <w:r>
        <w:rPr>
          <w:rFonts w:hint="eastAsia" w:ascii="ＭＳ 明朝" w:hAnsi="ＭＳ 明朝" w:eastAsia="ＭＳ 明朝"/>
          <w:sz w:val="24"/>
        </w:rPr>
        <w:t xml:space="preserve">(1) </w:t>
      </w:r>
      <w:r>
        <w:rPr>
          <w:rFonts w:hint="eastAsia" w:ascii="ＭＳ 明朝" w:hAnsi="ＭＳ 明朝" w:eastAsia="ＭＳ 明朝"/>
          <w:sz w:val="24"/>
        </w:rPr>
        <w:t>市は、各施策を推進するため、予算の範囲内において、必要な財政上の措置を講ずるものとする。</w:t>
      </w:r>
    </w:p>
    <w:p>
      <w:pPr>
        <w:pStyle w:val="19"/>
        <w:spacing w:line="0" w:lineRule="atLeast"/>
        <w:rPr>
          <w:rFonts w:hint="eastAsia" w:ascii="ＭＳ 明朝" w:hAnsi="ＭＳ 明朝" w:eastAsia="ＭＳ 明朝"/>
          <w:sz w:val="24"/>
        </w:rPr>
      </w:pPr>
    </w:p>
    <w:p>
      <w:pPr>
        <w:pStyle w:val="19"/>
        <w:spacing w:line="0" w:lineRule="atLeast"/>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　手話の利用環境の整備等</w:t>
      </w:r>
    </w:p>
    <w:p>
      <w:pPr>
        <w:pStyle w:val="19"/>
        <w:spacing w:line="0" w:lineRule="atLeast"/>
        <w:ind w:left="810" w:leftChars="117" w:hanging="564" w:hangingChars="235"/>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w:t>
      </w:r>
      <w:r>
        <w:rPr>
          <w:rFonts w:hint="eastAsia" w:ascii="ＭＳ 明朝" w:hAnsi="ＭＳ 明朝" w:eastAsia="ＭＳ 明朝"/>
          <w:sz w:val="24"/>
        </w:rPr>
        <w:t>）手話を学ぶ機会の提供</w:t>
      </w:r>
    </w:p>
    <w:p>
      <w:pPr>
        <w:pStyle w:val="19"/>
        <w:spacing w:line="0" w:lineRule="atLeast"/>
        <w:ind w:left="810" w:leftChars="117" w:hanging="564" w:hangingChars="235"/>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）学校等による手話に対する理解の促進</w:t>
      </w:r>
    </w:p>
    <w:p>
      <w:pPr>
        <w:pStyle w:val="19"/>
        <w:spacing w:line="0" w:lineRule="atLeast"/>
        <w:ind w:left="810" w:leftChars="117" w:hanging="564" w:hangingChars="235"/>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）事業者等による手話に対する理解の促進</w:t>
      </w:r>
    </w:p>
    <w:p>
      <w:pPr>
        <w:pStyle w:val="19"/>
        <w:spacing w:line="0" w:lineRule="atLeast"/>
        <w:rPr>
          <w:rFonts w:hint="eastAsia" w:ascii="Meiryo UI" w:hAnsi="Meiryo UI" w:eastAsia="Meiryo UI"/>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854"/>
      </w:tblGrid>
      <w:tr>
        <w:trPr/>
        <w:tc>
          <w:tcPr>
            <w:tcW w:w="98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0" w:lineRule="atLeast"/>
              <w:rPr>
                <w:rFonts w:hint="eastAsia"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Ⅲ</w:t>
            </w:r>
            <w:r>
              <w:rPr>
                <w:rFonts w:hint="eastAsia" w:ascii="HGS創英角ｺﾞｼｯｸUB" w:hAnsi="HGS創英角ｺﾞｼｯｸUB" w:eastAsia="HGS創英角ｺﾞｼｯｸUB"/>
                <w:sz w:val="28"/>
              </w:rPr>
              <w:t>.</w:t>
            </w:r>
            <w:r>
              <w:rPr>
                <w:rFonts w:hint="eastAsia" w:ascii="HGS創英角ｺﾞｼｯｸUB" w:hAnsi="HGS創英角ｺﾞｼｯｸUB" w:eastAsia="HGS創英角ｺﾞｼｯｸUB"/>
                <w:sz w:val="28"/>
              </w:rPr>
              <w:t>　スケジュール</w:t>
            </w:r>
          </w:p>
        </w:tc>
      </w:tr>
    </w:tbl>
    <w:p>
      <w:pPr>
        <w:pStyle w:val="19"/>
        <w:spacing w:line="0" w:lineRule="atLeast"/>
        <w:rPr>
          <w:rFonts w:hint="eastAsia" w:ascii="Meiryo UI" w:hAnsi="Meiryo UI" w:eastAsia="Meiryo UI"/>
          <w:sz w:val="24"/>
        </w:rPr>
      </w:pPr>
    </w:p>
    <w:tbl>
      <w:tblPr>
        <w:tblStyle w:val="11"/>
        <w:tblW w:w="0" w:type="auto"/>
        <w:jc w:val="left"/>
        <w:tblInd w:w="3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Look w:firstRow="1" w:lastRow="0" w:firstColumn="1" w:lastColumn="0" w:noHBand="0" w:noVBand="1" w:val="04A0"/>
      </w:tblPr>
      <w:tblGrid>
        <w:gridCol w:w="2700"/>
        <w:gridCol w:w="6948"/>
      </w:tblGrid>
      <w:tr>
        <w:trPr>
          <w:trHeight w:val="360" w:hRule="atLeast"/>
        </w:trPr>
        <w:tc>
          <w:tcPr>
            <w:tcW w:w="2700" w:type="dxa"/>
            <w:tcBorders>
              <w:top w:val="nil"/>
              <w:left w:val="nil"/>
              <w:bottom w:val="nil"/>
              <w:right w:val="nil"/>
              <w:tl2br w:val="nil"/>
              <w:tr2bl w:val="nil"/>
            </w:tcBorders>
            <w:shd w:val="clear" w:color="auto" w:fill="auto"/>
            <w:vAlign w:val="center"/>
          </w:tcPr>
          <w:p>
            <w:pPr>
              <w:pStyle w:val="0"/>
              <w:spacing w:line="0" w:lineRule="atLeast"/>
              <w:jc w:val="both"/>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8</w:t>
            </w:r>
            <w:r>
              <w:rPr>
                <w:rFonts w:hint="eastAsia" w:ascii="ＭＳ 明朝" w:hAnsi="ＭＳ 明朝" w:eastAsia="ＭＳ 明朝"/>
                <w:sz w:val="24"/>
              </w:rPr>
              <w:t>月</w:t>
            </w:r>
          </w:p>
        </w:tc>
        <w:tc>
          <w:tcPr>
            <w:tcW w:w="6948" w:type="dxa"/>
            <w:tcBorders>
              <w:top w:val="nil"/>
              <w:left w:val="nil"/>
              <w:bottom w:val="nil"/>
              <w:right w:val="nil"/>
              <w:tl2br w:val="nil"/>
              <w:tr2bl w:val="nil"/>
            </w:tcBorders>
            <w:shd w:val="clear" w:color="auto" w:fill="auto"/>
            <w:vAlign w:val="center"/>
          </w:tcPr>
          <w:p>
            <w:pPr>
              <w:pStyle w:val="0"/>
              <w:spacing w:line="0" w:lineRule="atLeast"/>
              <w:jc w:val="both"/>
              <w:rPr>
                <w:rFonts w:hint="eastAsia" w:ascii="ＭＳ 明朝" w:hAnsi="ＭＳ 明朝" w:eastAsia="ＭＳ 明朝"/>
                <w:sz w:val="24"/>
              </w:rPr>
            </w:pPr>
            <w:r>
              <w:rPr>
                <w:rFonts w:hint="eastAsia" w:ascii="ＭＳ 明朝" w:hAnsi="ＭＳ 明朝" w:eastAsia="ＭＳ 明朝"/>
                <w:sz w:val="24"/>
              </w:rPr>
              <w:t>パブリックコメント実施</w:t>
            </w:r>
          </w:p>
        </w:tc>
      </w:tr>
      <w:tr>
        <w:trPr>
          <w:trHeight w:val="360" w:hRule="atLeast"/>
        </w:trPr>
        <w:tc>
          <w:tcPr>
            <w:tcW w:w="2700" w:type="dxa"/>
            <w:tcBorders>
              <w:top w:val="nil"/>
              <w:left w:val="nil"/>
              <w:bottom w:val="nil"/>
              <w:right w:val="nil"/>
              <w:tl2br w:val="nil"/>
              <w:tr2bl w:val="nil"/>
            </w:tcBorders>
            <w:shd w:val="clear" w:color="auto" w:fill="auto"/>
            <w:vAlign w:val="center"/>
          </w:tcPr>
          <w:p>
            <w:pPr>
              <w:pStyle w:val="0"/>
              <w:spacing w:line="0" w:lineRule="atLeast"/>
              <w:jc w:val="both"/>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9</w:t>
            </w:r>
            <w:r>
              <w:rPr>
                <w:rFonts w:hint="eastAsia" w:ascii="ＭＳ 明朝" w:hAnsi="ＭＳ 明朝" w:eastAsia="ＭＳ 明朝"/>
                <w:sz w:val="24"/>
              </w:rPr>
              <w:t>～</w:t>
            </w:r>
            <w:r>
              <w:rPr>
                <w:rFonts w:hint="eastAsia" w:ascii="ＭＳ 明朝" w:hAnsi="ＭＳ 明朝" w:eastAsia="ＭＳ 明朝"/>
                <w:sz w:val="24"/>
              </w:rPr>
              <w:t>10</w:t>
            </w:r>
            <w:r>
              <w:rPr>
                <w:rFonts w:hint="eastAsia" w:ascii="ＭＳ 明朝" w:hAnsi="ＭＳ 明朝" w:eastAsia="ＭＳ 明朝"/>
                <w:sz w:val="24"/>
              </w:rPr>
              <w:t>月</w:t>
            </w:r>
          </w:p>
          <w:p>
            <w:pPr>
              <w:pStyle w:val="0"/>
              <w:spacing w:line="0" w:lineRule="atLeast"/>
              <w:jc w:val="both"/>
              <w:rPr>
                <w:rFonts w:hint="eastAsia" w:ascii="ＭＳ 明朝" w:hAnsi="ＭＳ 明朝" w:eastAsia="ＭＳ 明朝"/>
                <w:sz w:val="24"/>
              </w:rPr>
            </w:pPr>
          </w:p>
        </w:tc>
        <w:tc>
          <w:tcPr>
            <w:tcW w:w="6948" w:type="dxa"/>
            <w:tcBorders>
              <w:top w:val="nil"/>
              <w:left w:val="nil"/>
              <w:bottom w:val="nil"/>
              <w:right w:val="nil"/>
              <w:tl2br w:val="nil"/>
              <w:tr2bl w:val="nil"/>
            </w:tcBorders>
            <w:shd w:val="clear" w:color="auto" w:fill="auto"/>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パブリックコメントの意見整理</w:t>
            </w:r>
          </w:p>
          <w:p>
            <w:pPr>
              <w:pStyle w:val="0"/>
              <w:jc w:val="both"/>
              <w:rPr>
                <w:rFonts w:hint="eastAsia" w:ascii="ＭＳ 明朝" w:hAnsi="ＭＳ 明朝" w:eastAsia="ＭＳ 明朝"/>
                <w:sz w:val="24"/>
              </w:rPr>
            </w:pPr>
            <w:r>
              <w:rPr>
                <w:rFonts w:hint="eastAsia" w:ascii="ＭＳ 明朝" w:hAnsi="ＭＳ 明朝" w:eastAsia="ＭＳ 明朝"/>
                <w:sz w:val="24"/>
              </w:rPr>
              <w:t>条例案の修正検討、確定</w:t>
            </w:r>
          </w:p>
        </w:tc>
      </w:tr>
      <w:tr>
        <w:trPr>
          <w:trHeight w:val="360" w:hRule="atLeast"/>
        </w:trPr>
        <w:tc>
          <w:tcPr>
            <w:tcW w:w="2700" w:type="dxa"/>
            <w:tcBorders>
              <w:top w:val="nil"/>
              <w:left w:val="nil"/>
              <w:bottom w:val="nil"/>
              <w:right w:val="nil"/>
              <w:tl2br w:val="nil"/>
              <w:tr2bl w:val="nil"/>
            </w:tcBorders>
            <w:shd w:val="clear" w:color="auto" w:fill="auto"/>
            <w:vAlign w:val="center"/>
          </w:tcPr>
          <w:p>
            <w:pPr>
              <w:pStyle w:val="0"/>
              <w:spacing w:line="0" w:lineRule="atLeast"/>
              <w:jc w:val="both"/>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10</w:t>
            </w:r>
            <w:r>
              <w:rPr>
                <w:rFonts w:hint="eastAsia" w:ascii="ＭＳ 明朝" w:hAnsi="ＭＳ 明朝" w:eastAsia="ＭＳ 明朝"/>
                <w:sz w:val="24"/>
              </w:rPr>
              <w:t>月</w:t>
            </w:r>
          </w:p>
        </w:tc>
        <w:tc>
          <w:tcPr>
            <w:tcW w:w="6948" w:type="dxa"/>
            <w:tcBorders>
              <w:top w:val="nil"/>
              <w:left w:val="nil"/>
              <w:bottom w:val="nil"/>
              <w:right w:val="nil"/>
              <w:tl2br w:val="nil"/>
              <w:tr2bl w:val="nil"/>
            </w:tcBorders>
            <w:shd w:val="clear" w:color="auto" w:fill="auto"/>
            <w:vAlign w:val="center"/>
          </w:tcPr>
          <w:p>
            <w:pPr>
              <w:pStyle w:val="0"/>
              <w:spacing w:line="0" w:lineRule="atLeast"/>
              <w:jc w:val="both"/>
              <w:rPr>
                <w:rFonts w:hint="eastAsia" w:ascii="ＭＳ 明朝" w:hAnsi="ＭＳ 明朝" w:eastAsia="ＭＳ 明朝"/>
                <w:sz w:val="24"/>
              </w:rPr>
            </w:pPr>
            <w:r>
              <w:rPr>
                <w:rFonts w:hint="eastAsia" w:ascii="ＭＳ 明朝" w:hAnsi="ＭＳ 明朝" w:eastAsia="ＭＳ 明朝"/>
                <w:sz w:val="24"/>
              </w:rPr>
              <w:t>パブリックコメント実施結果の公表</w:t>
            </w:r>
          </w:p>
        </w:tc>
      </w:tr>
      <w:tr>
        <w:trPr>
          <w:trHeight w:val="360" w:hRule="atLeast"/>
        </w:trPr>
        <w:tc>
          <w:tcPr>
            <w:tcW w:w="2700" w:type="dxa"/>
            <w:tcBorders>
              <w:top w:val="nil"/>
              <w:left w:val="nil"/>
              <w:bottom w:val="nil"/>
              <w:right w:val="nil"/>
              <w:tl2br w:val="nil"/>
              <w:tr2bl w:val="nil"/>
            </w:tcBorders>
            <w:shd w:val="clear" w:color="auto" w:fill="auto"/>
            <w:vAlign w:val="center"/>
          </w:tcPr>
          <w:p>
            <w:pPr>
              <w:pStyle w:val="0"/>
              <w:spacing w:line="0" w:lineRule="atLeast"/>
              <w:jc w:val="both"/>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12</w:t>
            </w:r>
            <w:r>
              <w:rPr>
                <w:rFonts w:hint="eastAsia" w:ascii="ＭＳ 明朝" w:hAnsi="ＭＳ 明朝" w:eastAsia="ＭＳ 明朝"/>
                <w:sz w:val="24"/>
              </w:rPr>
              <w:t>月</w:t>
            </w:r>
          </w:p>
        </w:tc>
        <w:tc>
          <w:tcPr>
            <w:tcW w:w="6948" w:type="dxa"/>
            <w:tcBorders>
              <w:top w:val="nil"/>
              <w:left w:val="nil"/>
              <w:bottom w:val="nil"/>
              <w:right w:val="nil"/>
              <w:tl2br w:val="nil"/>
              <w:tr2bl w:val="nil"/>
            </w:tcBorders>
            <w:shd w:val="clear" w:color="auto" w:fill="auto"/>
            <w:vAlign w:val="center"/>
          </w:tcPr>
          <w:p>
            <w:pPr>
              <w:pStyle w:val="0"/>
              <w:spacing w:line="0" w:lineRule="atLeast"/>
              <w:jc w:val="both"/>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5</w:t>
            </w:r>
            <w:r>
              <w:rPr>
                <w:rFonts w:hint="eastAsia" w:ascii="ＭＳ 明朝" w:hAnsi="ＭＳ 明朝" w:eastAsia="ＭＳ 明朝"/>
                <w:sz w:val="24"/>
              </w:rPr>
              <w:t>年第</w:t>
            </w:r>
            <w:r>
              <w:rPr>
                <w:rFonts w:hint="eastAsia" w:ascii="ＭＳ 明朝" w:hAnsi="ＭＳ 明朝" w:eastAsia="ＭＳ 明朝"/>
                <w:sz w:val="24"/>
              </w:rPr>
              <w:t>4</w:t>
            </w:r>
            <w:r>
              <w:rPr>
                <w:rFonts w:hint="eastAsia" w:ascii="ＭＳ 明朝" w:hAnsi="ＭＳ 明朝" w:eastAsia="ＭＳ 明朝"/>
                <w:sz w:val="24"/>
              </w:rPr>
              <w:t>回箕面市議会定例会に条例案を提案</w:t>
            </w:r>
          </w:p>
        </w:tc>
      </w:tr>
    </w:tbl>
    <w:p>
      <w:pPr>
        <w:pStyle w:val="19"/>
        <w:spacing w:line="0" w:lineRule="atLeast"/>
        <w:rPr>
          <w:rFonts w:hint="eastAsia" w:ascii="Meiryo UI" w:hAnsi="Meiryo UI" w:eastAsia="Meiryo UI"/>
          <w:sz w:val="24"/>
        </w:rPr>
      </w:pPr>
    </w:p>
    <w:sectPr>
      <w:headerReference r:id="rId5" w:type="default"/>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小塚ゴシック Pr6N R">
    <w:panose1 w:val="00000000000000000000"/>
    <w:charset w:val="80"/>
    <w:family w:val="swiss"/>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Batang">
    <w:panose1 w:val="00000000000000000000"/>
    <w:charset w:val="80"/>
    <w:family w:val="roman"/>
    <w:notTrueType/>
    <w:pitch w:val="fixed"/>
    <w:sig w:usb0="00000000" w:usb1="00000000" w:usb2="00000000" w:usb3="00000000" w:csb0="01008200" w:csb1="00000000"/>
  </w:font>
  <w:font w:name="BatangChe">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S行書体">
    <w:panose1 w:val="00000000000000000000"/>
    <w:charset w:val="80"/>
    <w:family w:val="script"/>
    <w:notTrueType/>
    <w:pitch w:val="variable"/>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pict>
        <v:line id="_x0000_s2049" style="mso-position-vertical-relative:text;mso-position-horizontal-relative:text;position:absolute;z-index:2;" o:allowincell="t" filled="f" stroked="t" strokeweight="3.4pt" o:spt="20" from="0pt,10.850000000000001pt" to="481.85pt,10.850000000000001pt">
          <v:fill/>
          <v:textbox style="layout-flow:horizontal;" inset="2.0637499999999998mm,0.24694444444444438mm,2.0637499999999998mm,0.24694444444444438mm"/>
          <v:imagedata o:title=""/>
          <w10:wrap type="none" anchorx="text" anchory="text"/>
        </v:line>
      </w:pict>
    </w: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mso-wrap-distance-right:16pt;mso-wrap-distance-bottom:0pt;margin-top:-29.45pt;mso-position-vertical-relative:text;mso-position-horizontal-relative:text;position:absolute;height:36.85pt;mso-wrap-distance-top:0pt;width:147.5pt;mso-wrap-distance-left:16pt;margin-left:334.35pt;z-index:3;" o:spid="_x0000_s2050" o:allowincell="t" o:allowoverlap="t" filled="f" stroked="f" o:spt="75" type="#_x0000_t75">
          <v:fill/>
          <v:stroke joinstyle="miter"/>
          <v:imagedata cropleft="732f" croptop="3413f" cropright="1102f" cropbottom="2735f" o:title="" r:id="rId1"/>
          <o:lock v:ext="edit" aspectratio="t"/>
          <w10:wrap type="none" anchorx="text" anchory="text"/>
        </v:shape>
      </w:pic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bordersDoNotSurroundHeader/>
  <w:bordersDoNotSurroundFooter/>
  <w:defaultTabStop w:val="840"/>
  <w:defaultTableStyle w:val="2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paragraph" w:styleId="18">
    <w:name w:val="Normal (Web)"/>
    <w:basedOn w:val="0"/>
    <w:next w:val="1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9">
    <w:name w:val="List Number"/>
    <w:basedOn w:val="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_rels/header1.xml.rels><?xml version="1.0" encoding="UTF-8"?><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TotalTime>
  <Pages>2</Pages>
  <Words>37</Words>
  <Characters>1173</Characters>
  <Application>JUST Note</Application>
  <Lines>72</Lines>
  <Paragraphs>41</Paragraphs>
  <CharactersWithSpaces>1184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2008-10-08T07:29:00Z</cp:lastPrinted>
  <dcterms:created xsi:type="dcterms:W3CDTF">2008-11-14T03:57:00Z</dcterms:created>
  <dcterms:modified xsi:type="dcterms:W3CDTF">2023-07-20T08:59:13Z</dcterms:modified>
  <cp:revision>44</cp:revision>
</cp:coreProperties>
</file>