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color w:val="auto"/>
          <w:sz w:val="24"/>
        </w:rPr>
      </w:pPr>
      <w:r>
        <w:rPr>
          <w:rFonts w:hint="eastAsia" w:ascii="ＭＳ 明朝" w:hAnsi="ＭＳ 明朝" w:eastAsia="ＭＳ 明朝"/>
          <w:color w:val="auto"/>
          <w:sz w:val="24"/>
        </w:rPr>
        <w:t>様式８</w:t>
      </w:r>
    </w:p>
    <w:p>
      <w:pPr>
        <w:pStyle w:val="0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【提案書】固定長期適合率の状況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tbl>
      <w:tblPr>
        <w:tblStyle w:val="15"/>
        <w:tblpPr w:leftFromText="142" w:rightFromText="142" w:topFromText="0" w:bottomFromText="0" w:vertAnchor="text" w:horzAnchor="text" w:tblpX="1094" w:tblpY="345"/>
        <w:tblW w:w="0" w:type="auto"/>
        <w:tblLayout w:type="fixed"/>
        <w:tblLook w:firstRow="1" w:lastRow="0" w:firstColumn="1" w:lastColumn="0" w:noHBand="0" w:noVBand="1" w:val="04A0"/>
      </w:tblPr>
      <w:tblGrid>
        <w:gridCol w:w="983"/>
        <w:gridCol w:w="2587"/>
        <w:gridCol w:w="6090"/>
        <w:gridCol w:w="792"/>
      </w:tblGrid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固定資産</w:t>
            </w:r>
          </w:p>
        </w:tc>
        <w:tc>
          <w:tcPr>
            <w:tcW w:w="6090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自己資本</w:t>
            </w:r>
          </w:p>
        </w:tc>
        <w:tc>
          <w:tcPr>
            <w:tcW w:w="60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>
          <w:trHeight w:val="546" w:hRule="atLeast"/>
        </w:trPr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固定負債</w:t>
            </w:r>
          </w:p>
        </w:tc>
        <w:tc>
          <w:tcPr>
            <w:tcW w:w="60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円</w:t>
            </w:r>
          </w:p>
        </w:tc>
      </w:tr>
      <w:tr>
        <w:trPr/>
        <w:tc>
          <w:tcPr>
            <w:tcW w:w="9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固定長期適合率</w:t>
            </w:r>
          </w:p>
          <w:p>
            <w:pPr>
              <w:pStyle w:val="0"/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</w:rPr>
              <w:t>÷（</w:t>
            </w:r>
            <w:r>
              <w:rPr>
                <w:rFonts w:hint="eastAsia"/>
                <w:sz w:val="24"/>
              </w:rPr>
              <w:t>B</w:t>
            </w:r>
            <w:r>
              <w:rPr>
                <w:rFonts w:hint="eastAsia"/>
                <w:sz w:val="24"/>
              </w:rPr>
              <w:t>＋</w:t>
            </w:r>
            <w:r>
              <w:rPr>
                <w:rFonts w:hint="eastAsia"/>
                <w:sz w:val="24"/>
              </w:rPr>
              <w:t>C)</w:t>
            </w:r>
          </w:p>
        </w:tc>
        <w:tc>
          <w:tcPr>
            <w:tcW w:w="60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E69A"/>
            <w:vAlign w:val="top"/>
          </w:tcPr>
          <w:p>
            <w:pPr>
              <w:pStyle w:val="0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％</w:t>
            </w:r>
          </w:p>
        </w:tc>
      </w:tr>
    </w:tbl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　　　　　　　　　　　　　　　　　　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ind w:firstLine="4800" w:firstLineChars="20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※小数点以下</w:t>
      </w:r>
      <w:r>
        <w:rPr>
          <w:rFonts w:hint="eastAsia" w:ascii="ＭＳ 明朝" w:hAnsi="ＭＳ 明朝" w:eastAsia="ＭＳ 明朝"/>
          <w:sz w:val="24"/>
          <w:u w:val="none" w:color="auto"/>
        </w:rPr>
        <w:t>2</w:t>
      </w:r>
      <w:r>
        <w:rPr>
          <w:rFonts w:hint="eastAsia" w:ascii="ＭＳ 明朝" w:hAnsi="ＭＳ 明朝" w:eastAsia="ＭＳ 明朝"/>
          <w:sz w:val="24"/>
          <w:u w:val="none" w:color="auto"/>
        </w:rPr>
        <w:t>桁目を四捨五入のこと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jc w:val="left"/>
        <w:rPr>
          <w:rFonts w:hint="eastAsia" w:ascii="ＭＳ 明朝" w:hAnsi="ＭＳ 明朝" w:eastAsia="ＭＳ 明朝"/>
          <w:color w:val="auto"/>
          <w:sz w:val="24"/>
          <w:u w:val="none" w:color="auto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4"/>
          <w:u w:val="none" w:color="auto"/>
        </w:rPr>
        <w:t>※令和６年４月１日から令和７年３月３１日事業年度の有価証券報告書の貸借対照表の数値を用いること。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※決算月が</w:t>
      </w:r>
      <w:r>
        <w:rPr>
          <w:rFonts w:hint="eastAsia" w:ascii="ＭＳ 明朝" w:hAnsi="ＭＳ 明朝" w:eastAsia="ＭＳ 明朝"/>
          <w:sz w:val="24"/>
          <w:u w:val="none" w:color="auto"/>
        </w:rPr>
        <w:t>3</w:t>
      </w:r>
      <w:r>
        <w:rPr>
          <w:rFonts w:hint="eastAsia" w:ascii="ＭＳ 明朝" w:hAnsi="ＭＳ 明朝" w:eastAsia="ＭＳ 明朝"/>
          <w:sz w:val="24"/>
          <w:u w:val="none" w:color="auto"/>
        </w:rPr>
        <w:t>月以外の場合は、直近の確定した貸借対照表の数値を用いること。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※連結親会社の場合は、連結財務諸表、連結子会社の場合は、単体の財務諸表の数値を用いること。</w:t>
      </w:r>
    </w:p>
    <w:p>
      <w:pPr>
        <w:pStyle w:val="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※数値を引用した書類を添付のうえ、引用数値をマーカーで明示すること。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5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table" w:styleId="15" w:customStyle="1">
    <w:name w:val="表（シンプル 1）"/>
    <w:basedOn w:val="11"/>
    <w:next w:val="15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56</TotalTime>
  <Pages>1</Pages>
  <Words>0</Words>
  <Characters>0</Characters>
  <Application>JUST Note</Application>
  <Lines>0</Lines>
  <Paragraphs>0</Paragraphs>
  <Company>箕面市役所</Company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2025-12-02T02:36:32Z</dcterms:modified>
  <cp:revision>1</cp:revision>
</cp:coreProperties>
</file>