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color w:val="auto"/>
          <w:sz w:val="24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4"/>
        </w:rPr>
        <w:t>様式１８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【提案書】苦情処理体制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tbl>
      <w:tblPr>
        <w:tblStyle w:val="17"/>
        <w:tblpPr w:leftFromText="142" w:rightFromText="142" w:topFromText="0" w:bottomFromText="0" w:vertAnchor="text" w:horzAnchor="text" w:tblpX="201" w:tblpY="253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4308"/>
        <w:gridCol w:w="1260"/>
        <w:gridCol w:w="1260"/>
        <w:gridCol w:w="5982"/>
      </w:tblGrid>
      <w:tr>
        <w:trPr>
          <w:trHeight w:val="632" w:hRule="atLeast"/>
        </w:trPr>
        <w:tc>
          <w:tcPr>
            <w:tcW w:w="4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4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評価項目</w:t>
            </w:r>
          </w:p>
        </w:tc>
        <w:tc>
          <w:tcPr>
            <w:tcW w:w="25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4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苦情処理手順等</w:t>
            </w:r>
          </w:p>
        </w:tc>
        <w:tc>
          <w:tcPr>
            <w:tcW w:w="5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4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苦情処理手順（受付手順マニュアル・市への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4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報告様式）の作成時期</w:t>
            </w:r>
          </w:p>
        </w:tc>
      </w:tr>
      <w:tr>
        <w:trPr>
          <w:trHeight w:val="748" w:hRule="atLeast"/>
        </w:trPr>
        <w:tc>
          <w:tcPr>
            <w:tcW w:w="4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苦情処理体制の整備状況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無</w:t>
            </w:r>
          </w:p>
        </w:tc>
        <w:tc>
          <w:tcPr>
            <w:tcW w:w="5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※作成済みであれば、苦情処理受付手順マニュアル（写し）及び市への報告様式を提出すること。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※苦情処理体制における役割分担、報告、指示及び結果報告系統、伝達方法等を評価する。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216</TotalTime>
  <Pages>1</Pages>
  <Words>0</Words>
  <Characters>118</Characters>
  <Application>JUST Note</Application>
  <Lines>16</Lines>
  <Paragraphs>13</Paragraphs>
  <Company>箕面市役所</Company>
  <CharactersWithSpaces>158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2025-12-02T04:40:10Z</dcterms:modified>
  <cp:revision>1</cp:revision>
</cp:coreProperties>
</file>