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4"/>
        </w:rPr>
      </w:pPr>
      <w:r>
        <w:rPr>
          <w:rFonts w:hint="eastAsia" w:ascii="ＭＳ 明朝" w:hAnsi="ＭＳ 明朝" w:eastAsia="ＭＳ 明朝"/>
          <w:color w:val="000000" w:themeColor="text1"/>
          <w:sz w:val="24"/>
        </w:rPr>
        <w:t>様式１６</w:t>
      </w:r>
    </w:p>
    <w:p>
      <w:pPr>
        <w:pStyle w:val="0"/>
        <w:jc w:val="center"/>
        <w:rPr>
          <w:rFonts w:hint="eastAsia" w:ascii="ＭＳ 明朝" w:hAnsi="ＭＳ 明朝" w:eastAsia="ＭＳ 明朝"/>
          <w:b w:val="1"/>
          <w:sz w:val="32"/>
        </w:rPr>
      </w:pPr>
      <w:r>
        <w:rPr>
          <w:rFonts w:hint="eastAsia" w:ascii="ＭＳ 明朝" w:hAnsi="ＭＳ 明朝" w:eastAsia="ＭＳ 明朝"/>
          <w:b w:val="1"/>
          <w:sz w:val="32"/>
        </w:rPr>
        <w:t>【提案書】適正な履行確認のための業務体制</w:t>
      </w:r>
    </w:p>
    <w:p>
      <w:pPr>
        <w:pStyle w:val="0"/>
        <w:jc w:val="center"/>
        <w:rPr>
          <w:rFonts w:hint="eastAsia" w:ascii="ＭＳ 明朝" w:hAnsi="ＭＳ 明朝" w:eastAsia="ＭＳ 明朝"/>
          <w:sz w:val="24"/>
        </w:rPr>
      </w:pPr>
    </w:p>
    <w:p>
      <w:pPr>
        <w:pStyle w:val="0"/>
        <w:jc w:val="center"/>
        <w:rPr>
          <w:rFonts w:hint="eastAsia" w:ascii="ＭＳ 明朝" w:hAnsi="ＭＳ 明朝" w:eastAsia="ＭＳ 明朝"/>
          <w:sz w:val="24"/>
          <w:u w:val="single" w:color="auto"/>
        </w:rPr>
      </w:pPr>
      <w:r>
        <w:rPr>
          <w:rFonts w:hint="eastAsia" w:ascii="ＭＳ 明朝" w:hAnsi="ＭＳ 明朝" w:eastAsia="ＭＳ 明朝"/>
          <w:sz w:val="24"/>
        </w:rPr>
        <w:t>　　　　　　　　　　　　　　　　　　</w:t>
      </w:r>
      <w:r>
        <w:rPr>
          <w:rFonts w:hint="eastAsia" w:ascii="ＭＳ 明朝" w:hAnsi="ＭＳ 明朝" w:eastAsia="ＭＳ 明朝"/>
          <w:sz w:val="24"/>
          <w:u w:val="single" w:color="auto"/>
        </w:rPr>
        <w:t>応募者名：</w:t>
      </w:r>
      <w:r>
        <w:rPr>
          <w:rFonts w:hint="eastAsia" w:ascii="ＭＳ 明朝" w:hAnsi="ＭＳ 明朝" w:eastAsia="ＭＳ 明朝"/>
          <w:sz w:val="24"/>
          <w:highlight w:val="none"/>
          <w:u w:val="single" w:color="auto"/>
          <w:shd w:val="pct15" w:color="auto" w:fill="auto"/>
        </w:rPr>
        <w:t>　　　　　　　　　　　　　　　　</w:t>
      </w:r>
    </w:p>
    <w:p>
      <w:pPr>
        <w:pStyle w:val="0"/>
        <w:rPr>
          <w:rFonts w:hint="eastAsia" w:ascii="ＭＳ 明朝" w:hAnsi="ＭＳ 明朝" w:eastAsia="ＭＳ 明朝"/>
          <w:b w:val="1"/>
          <w:sz w:val="24"/>
          <w:u w:val="none" w:color="auto"/>
        </w:rPr>
      </w:pPr>
      <w:r>
        <w:rPr>
          <w:rFonts w:hint="eastAsia" w:ascii="ＭＳ 明朝" w:hAnsi="ＭＳ 明朝" w:eastAsia="ＭＳ 明朝"/>
          <w:b w:val="1"/>
          <w:sz w:val="24"/>
          <w:u w:val="none" w:color="auto"/>
        </w:rPr>
        <w:t>（１）業務の運営にあたり、仕様書に基づく履行体制、作業計画を記載してください。</w:t>
      </w:r>
    </w:p>
    <w:tbl>
      <w:tblPr>
        <w:tblStyle w:val="17"/>
        <w:tblpPr w:leftFromText="0" w:rightFromText="0" w:topFromText="0" w:bottomFromText="0" w:vertAnchor="text" w:horzAnchor="margin" w:tblpX="338" w:tblpY="1185"/>
        <w:tblOverlap w:val="never"/>
        <w:tblW w:w="12886" w:type="dxa"/>
        <w:tblLayout w:type="fixed"/>
        <w:tblLook w:firstRow="1" w:lastRow="0" w:firstColumn="1" w:lastColumn="0" w:noHBand="0" w:noVBand="1" w:val="04A0"/>
      </w:tblPr>
      <w:tblGrid>
        <w:gridCol w:w="12886"/>
      </w:tblGrid>
      <w:tr>
        <w:trPr>
          <w:trHeight w:val="3645" w:hRule="atLeast"/>
        </w:trPr>
        <w:tc>
          <w:tcPr>
            <w:tcW w:w="12886"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FFFFBE"/>
            <w:vAlign w:val="top"/>
          </w:tcPr>
          <w:p>
            <w:pPr>
              <w:pStyle w:val="0"/>
              <w:rPr>
                <w:rFonts w:hint="eastAsia" w:ascii="ＭＳ 明朝" w:hAnsi="ＭＳ 明朝" w:eastAsia="ＭＳ 明朝"/>
                <w:b w:val="1"/>
                <w:sz w:val="24"/>
              </w:rPr>
            </w:pPr>
          </w:p>
          <w:p>
            <w:pPr>
              <w:pStyle w:val="0"/>
              <w:rPr>
                <w:rFonts w:hint="eastAsia" w:ascii="ＭＳ 明朝" w:hAnsi="ＭＳ 明朝" w:eastAsia="ＭＳ 明朝"/>
                <w:sz w:val="24"/>
              </w:rPr>
            </w:pPr>
          </w:p>
        </w:tc>
      </w:tr>
    </w:tbl>
    <w:p>
      <w:pPr>
        <w:pStyle w:val="0"/>
        <w:rPr>
          <w:rFonts w:hint="eastAsia" w:ascii="ＭＳ 明朝" w:hAnsi="ＭＳ 明朝" w:eastAsia="ＭＳ 明朝"/>
          <w:sz w:val="24"/>
          <w:u w:val="none" w:color="auto"/>
        </w:rPr>
      </w:pPr>
      <w:r>
        <w:rPr>
          <w:rFonts w:hint="eastAsia" w:ascii="ＭＳ 明朝" w:hAnsi="ＭＳ 明朝" w:eastAsia="ＭＳ 明朝"/>
          <w:sz w:val="24"/>
          <w:u w:val="none" w:color="auto"/>
        </w:rPr>
        <w:t>　※「別紙のとおり」とし、別紙｢履行体制、作業計画｣を作成し、添付しても可とする。</w:t>
      </w:r>
    </w:p>
    <w:p>
      <w:pPr>
        <w:pStyle w:val="0"/>
        <w:ind w:left="210" w:leftChars="100" w:firstLine="0" w:firstLineChars="0"/>
        <w:rPr>
          <w:rFonts w:hint="eastAsia" w:ascii="ＭＳ 明朝" w:hAnsi="ＭＳ 明朝" w:eastAsia="ＭＳ 明朝"/>
          <w:sz w:val="24"/>
          <w:u w:val="none" w:color="auto"/>
        </w:rPr>
      </w:pPr>
      <w:r>
        <w:rPr>
          <w:rFonts w:hint="eastAsia" w:ascii="ＭＳ 明朝" w:hAnsi="ＭＳ 明朝" w:eastAsia="ＭＳ 明朝"/>
          <w:sz w:val="24"/>
          <w:u w:val="none" w:color="auto"/>
        </w:rPr>
        <w:t>※災害時・緊急時における履行体制も作成すること。</w:t>
      </w:r>
    </w:p>
    <w:p>
      <w:pPr>
        <w:pStyle w:val="0"/>
        <w:ind w:left="210" w:leftChars="100" w:firstLine="0" w:firstLineChars="0"/>
        <w:rPr>
          <w:rFonts w:hint="eastAsia" w:ascii="ＭＳ 明朝" w:hAnsi="ＭＳ 明朝" w:eastAsia="ＭＳ 明朝"/>
          <w:sz w:val="24"/>
          <w:u w:val="none" w:color="auto"/>
        </w:rPr>
      </w:pPr>
      <w:r>
        <w:rPr>
          <w:rFonts w:hint="eastAsia" w:ascii="ＭＳ 明朝" w:hAnsi="ＭＳ 明朝" w:eastAsia="ＭＳ 明朝"/>
          <w:sz w:val="24"/>
          <w:u w:val="none" w:color="auto"/>
        </w:rPr>
        <w:t>※作業計画は、具体的かつ簡潔明瞭に記載のこと。</w:t>
      </w:r>
    </w:p>
    <w:p>
      <w:pPr>
        <w:pStyle w:val="0"/>
        <w:ind w:left="210" w:leftChars="100" w:firstLine="0" w:firstLineChars="0"/>
        <w:rPr>
          <w:rFonts w:hint="eastAsia" w:ascii="ＭＳ 明朝" w:hAnsi="ＭＳ 明朝" w:eastAsia="ＭＳ 明朝"/>
          <w:sz w:val="24"/>
          <w:u w:val="none" w:color="auto"/>
        </w:rPr>
      </w:pPr>
    </w:p>
    <w:p>
      <w:pPr>
        <w:pStyle w:val="0"/>
        <w:ind w:left="0" w:leftChars="0" w:firstLine="240" w:firstLineChars="100"/>
        <w:rPr>
          <w:rFonts w:hint="eastAsia" w:ascii="ＭＳ 明朝" w:hAnsi="ＭＳ 明朝" w:eastAsia="ＭＳ 明朝"/>
          <w:sz w:val="24"/>
          <w:u w:val="none" w:color="auto"/>
        </w:rPr>
      </w:pPr>
      <w:r>
        <w:rPr>
          <w:rFonts w:hint="eastAsia" w:ascii="ＭＳ 明朝" w:hAnsi="ＭＳ 明朝" w:eastAsia="ＭＳ 明朝"/>
          <w:sz w:val="24"/>
          <w:u w:val="none" w:color="auto"/>
        </w:rPr>
        <w:t>※業務の実施体制、業務フロー、災害時・緊急時の履行体制等を評価する。</w:t>
      </w:r>
    </w:p>
    <w:p>
      <w:pPr>
        <w:pStyle w:val="0"/>
        <w:ind w:left="0" w:leftChars="0" w:firstLine="240" w:firstLineChars="100"/>
        <w:rPr>
          <w:rFonts w:hint="eastAsia" w:ascii="ＭＳ 明朝" w:hAnsi="ＭＳ 明朝" w:eastAsia="ＭＳ 明朝"/>
          <w:sz w:val="24"/>
          <w:u w:val="none" w:color="auto"/>
        </w:rPr>
      </w:pPr>
      <w:r>
        <w:rPr>
          <w:rFonts w:hint="eastAsia" w:ascii="ＭＳ 明朝" w:hAnsi="ＭＳ 明朝" w:eastAsia="ＭＳ 明朝"/>
          <w:sz w:val="24"/>
          <w:u w:val="none" w:color="auto"/>
        </w:rPr>
        <w:t>※必要であれば、資料等添付のこと。</w:t>
      </w:r>
    </w:p>
    <w:p>
      <w:pPr>
        <w:pStyle w:val="0"/>
        <w:ind w:left="0" w:leftChars="0" w:firstLine="240" w:firstLineChars="100"/>
        <w:rPr>
          <w:rFonts w:hint="eastAsia" w:ascii="ＭＳ 明朝" w:hAnsi="ＭＳ 明朝" w:eastAsia="ＭＳ 明朝"/>
          <w:sz w:val="24"/>
          <w:u w:val="none" w:color="auto"/>
        </w:rPr>
      </w:pPr>
    </w:p>
    <w:p>
      <w:pPr>
        <w:pStyle w:val="0"/>
        <w:ind w:left="0" w:leftChars="0" w:firstLine="240" w:firstLineChars="100"/>
        <w:rPr>
          <w:rFonts w:hint="eastAsia" w:ascii="ＭＳ 明朝" w:hAnsi="ＭＳ 明朝" w:eastAsia="ＭＳ 明朝"/>
          <w:sz w:val="24"/>
          <w:u w:val="none" w:color="auto"/>
        </w:rPr>
      </w:pPr>
    </w:p>
    <w:p>
      <w:pPr>
        <w:pStyle w:val="0"/>
        <w:ind w:left="0" w:leftChars="0" w:firstLine="240" w:firstLineChars="100"/>
        <w:rPr>
          <w:rFonts w:hint="eastAsia" w:ascii="ＭＳ 明朝" w:hAnsi="ＭＳ 明朝" w:eastAsia="ＭＳ 明朝"/>
          <w:sz w:val="24"/>
          <w:u w:val="none" w:color="auto"/>
        </w:rPr>
      </w:pPr>
    </w:p>
    <w:p>
      <w:pPr>
        <w:pStyle w:val="0"/>
        <w:ind w:left="0" w:leftChars="0" w:firstLine="240" w:firstLineChars="100"/>
        <w:rPr>
          <w:rFonts w:hint="eastAsia" w:ascii="ＭＳ 明朝" w:hAnsi="ＭＳ 明朝" w:eastAsia="ＭＳ 明朝"/>
          <w:sz w:val="24"/>
          <w:u w:val="none" w:color="auto"/>
        </w:rPr>
      </w:pPr>
    </w:p>
    <w:p>
      <w:pPr>
        <w:pStyle w:val="0"/>
        <w:ind w:left="0" w:leftChars="0" w:firstLine="240" w:firstLineChars="100"/>
        <w:rPr>
          <w:rFonts w:hint="eastAsia" w:ascii="ＭＳ 明朝" w:hAnsi="ＭＳ 明朝" w:eastAsia="ＭＳ 明朝"/>
          <w:sz w:val="24"/>
          <w:u w:val="none" w:color="auto"/>
        </w:rPr>
      </w:pPr>
    </w:p>
    <w:p>
      <w:pPr>
        <w:pStyle w:val="0"/>
        <w:rPr>
          <w:rFonts w:hint="eastAsia" w:ascii="ＭＳ 明朝" w:hAnsi="ＭＳ 明朝" w:eastAsia="ＭＳ 明朝"/>
          <w:b w:val="1"/>
          <w:sz w:val="24"/>
          <w:u w:val="none" w:color="auto"/>
        </w:rPr>
      </w:pPr>
      <w:r>
        <w:rPr>
          <w:rFonts w:hint="eastAsia" w:ascii="ＭＳ 明朝" w:hAnsi="ＭＳ 明朝" w:eastAsia="ＭＳ 明朝"/>
          <w:b w:val="1"/>
          <w:sz w:val="24"/>
          <w:u w:val="none" w:color="auto"/>
        </w:rPr>
        <w:t>（２）出産育児・介護に係る休暇休業制度の有無について</w:t>
      </w:r>
    </w:p>
    <w:tbl>
      <w:tblPr>
        <w:tblStyle w:val="17"/>
        <w:tblW w:w="0" w:type="auto"/>
        <w:jc w:val="left"/>
        <w:tblInd w:w="510" w:type="dxa"/>
        <w:tblLayout w:type="fixed"/>
        <w:tblCellMar>
          <w:top w:w="0" w:type="dxa"/>
          <w:left w:w="108" w:type="dxa"/>
          <w:bottom w:w="0" w:type="dxa"/>
          <w:right w:w="108" w:type="dxa"/>
        </w:tblCellMar>
        <w:tblLook w:firstRow="1" w:lastRow="0" w:firstColumn="1" w:lastColumn="0" w:noHBand="0" w:noVBand="1" w:val="04A0"/>
      </w:tblPr>
      <w:tblGrid>
        <w:gridCol w:w="2935"/>
        <w:gridCol w:w="1260"/>
        <w:gridCol w:w="1260"/>
        <w:gridCol w:w="1470"/>
        <w:gridCol w:w="1470"/>
        <w:gridCol w:w="1470"/>
        <w:gridCol w:w="1470"/>
      </w:tblGrid>
      <w:tr>
        <w:trPr>
          <w:trHeight w:val="360" w:hRule="atLeast"/>
        </w:trPr>
        <w:tc>
          <w:tcPr>
            <w:tcW w:w="2935" w:type="dxa"/>
            <w:vMerge w:val="restart"/>
            <w:vAlign w:val="top"/>
          </w:tcPr>
          <w:p>
            <w:pPr>
              <w:pStyle w:val="0"/>
              <w:rPr>
                <w:rFonts w:hint="eastAsia" w:ascii="ＭＳ 明朝" w:hAnsi="ＭＳ 明朝" w:eastAsia="ＭＳ 明朝"/>
                <w:sz w:val="24"/>
              </w:rPr>
            </w:pPr>
          </w:p>
        </w:tc>
        <w:tc>
          <w:tcPr>
            <w:tcW w:w="2520" w:type="dxa"/>
            <w:gridSpan w:val="2"/>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adjustRightInd w:val="0"/>
              <w:snapToGrid w:val="0"/>
              <w:jc w:val="center"/>
              <w:rPr>
                <w:rFonts w:hint="eastAsia" w:ascii="ＭＳ 明朝" w:hAnsi="ＭＳ 明朝" w:eastAsia="ＭＳ 明朝"/>
                <w:b w:val="1"/>
                <w:sz w:val="24"/>
              </w:rPr>
            </w:pPr>
            <w:r>
              <w:rPr>
                <w:rFonts w:hint="eastAsia" w:ascii="ＭＳ 明朝" w:hAnsi="ＭＳ 明朝" w:eastAsia="ＭＳ 明朝"/>
                <w:b w:val="1"/>
                <w:sz w:val="24"/>
              </w:rPr>
              <w:t>制度の有無</w:t>
            </w:r>
          </w:p>
        </w:tc>
        <w:tc>
          <w:tcPr>
            <w:tcW w:w="2940"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ascii="ＭＳ 明朝" w:hAnsi="ＭＳ 明朝" w:eastAsia="ＭＳ 明朝"/>
                <w:b w:val="1"/>
                <w:sz w:val="24"/>
              </w:rPr>
            </w:pPr>
            <w:r>
              <w:rPr>
                <w:rFonts w:hint="eastAsia" w:ascii="ＭＳ 明朝" w:hAnsi="ＭＳ 明朝" w:eastAsia="ＭＳ 明朝"/>
                <w:b w:val="1"/>
                <w:sz w:val="24"/>
              </w:rPr>
              <w:t>全体</w:t>
            </w:r>
          </w:p>
        </w:tc>
        <w:tc>
          <w:tcPr>
            <w:tcW w:w="2940"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ascii="ＭＳ 明朝" w:hAnsi="ＭＳ 明朝" w:eastAsia="ＭＳ 明朝"/>
                <w:b w:val="1"/>
                <w:sz w:val="24"/>
              </w:rPr>
            </w:pPr>
            <w:r>
              <w:rPr>
                <w:rFonts w:hint="eastAsia" w:ascii="ＭＳ 明朝" w:hAnsi="ＭＳ 明朝" w:eastAsia="ＭＳ 明朝"/>
                <w:b w:val="1"/>
                <w:sz w:val="24"/>
              </w:rPr>
              <w:t>うち男性</w:t>
            </w:r>
          </w:p>
        </w:tc>
      </w:tr>
      <w:tr>
        <w:trPr/>
        <w:tc>
          <w:tcPr>
            <w:tcW w:w="2935" w:type="dxa"/>
            <w:vMerge w:val="continue"/>
            <w:vAlign w:val="top"/>
          </w:tcPr>
          <w:p>
            <w:pPr>
              <w:pStyle w:val="0"/>
              <w:rPr>
                <w:rFonts w:hint="eastAsia"/>
              </w:rPr>
            </w:pPr>
          </w:p>
        </w:tc>
        <w:tc>
          <w:tcPr>
            <w:tcW w:w="2520" w:type="dxa"/>
            <w:gridSpan w:val="2"/>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rPr>
            </w:pPr>
          </w:p>
        </w:tc>
        <w:tc>
          <w:tcPr>
            <w:tcW w:w="2940"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ascii="ＭＳ 明朝" w:hAnsi="ＭＳ 明朝" w:eastAsia="ＭＳ 明朝"/>
                <w:b w:val="1"/>
                <w:sz w:val="24"/>
              </w:rPr>
            </w:pPr>
            <w:r>
              <w:rPr>
                <w:rFonts w:hint="eastAsia" w:ascii="ＭＳ 明朝" w:hAnsi="ＭＳ 明朝" w:eastAsia="ＭＳ 明朝"/>
                <w:b w:val="1"/>
                <w:sz w:val="24"/>
              </w:rPr>
              <w:t>昨年度の取得</w:t>
            </w:r>
          </w:p>
        </w:tc>
        <w:tc>
          <w:tcPr>
            <w:tcW w:w="2940"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ascii="ＭＳ 明朝" w:hAnsi="ＭＳ 明朝" w:eastAsia="ＭＳ 明朝"/>
                <w:b w:val="1"/>
                <w:sz w:val="24"/>
              </w:rPr>
            </w:pPr>
            <w:r>
              <w:rPr>
                <w:rFonts w:hint="eastAsia" w:ascii="ＭＳ 明朝" w:hAnsi="ＭＳ 明朝" w:eastAsia="ＭＳ 明朝"/>
                <w:b w:val="1"/>
                <w:sz w:val="24"/>
              </w:rPr>
              <w:t>昨年度の取得</w:t>
            </w:r>
          </w:p>
        </w:tc>
      </w:tr>
      <w:tr>
        <w:trPr/>
        <w:tc>
          <w:tcPr>
            <w:tcW w:w="2935" w:type="dxa"/>
            <w:vAlign w:val="top"/>
          </w:tcPr>
          <w:p>
            <w:pPr>
              <w:pStyle w:val="0"/>
              <w:rPr>
                <w:rFonts w:hint="eastAsia" w:ascii="ＭＳ 明朝" w:hAnsi="ＭＳ 明朝" w:eastAsia="ＭＳ 明朝"/>
                <w:b w:val="1"/>
                <w:sz w:val="24"/>
              </w:rPr>
            </w:pPr>
            <w:r>
              <w:rPr>
                <w:rFonts w:hint="eastAsia" w:ascii="ＭＳ 明朝" w:hAnsi="ＭＳ 明朝" w:eastAsia="ＭＳ 明朝"/>
                <w:b w:val="1"/>
                <w:sz w:val="24"/>
              </w:rPr>
              <w:t>出産育児に係る休業制度</w:t>
            </w:r>
          </w:p>
        </w:tc>
        <w:tc>
          <w:tcPr>
            <w:tcW w:w="126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有</w:t>
            </w:r>
          </w:p>
        </w:tc>
        <w:tc>
          <w:tcPr>
            <w:tcW w:w="126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無</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有</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無</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有</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無</w:t>
            </w:r>
          </w:p>
        </w:tc>
      </w:tr>
      <w:tr>
        <w:trPr/>
        <w:tc>
          <w:tcPr>
            <w:tcW w:w="2935" w:type="dxa"/>
            <w:vAlign w:val="top"/>
          </w:tcPr>
          <w:p>
            <w:pPr>
              <w:pStyle w:val="0"/>
              <w:rPr>
                <w:rFonts w:hint="eastAsia" w:ascii="ＭＳ 明朝" w:hAnsi="ＭＳ 明朝" w:eastAsia="ＭＳ 明朝"/>
                <w:b w:val="1"/>
                <w:sz w:val="24"/>
              </w:rPr>
            </w:pPr>
            <w:r>
              <w:rPr>
                <w:rFonts w:hint="eastAsia" w:ascii="ＭＳ 明朝" w:hAnsi="ＭＳ 明朝" w:eastAsia="ＭＳ 明朝"/>
                <w:b w:val="1"/>
                <w:sz w:val="24"/>
              </w:rPr>
              <w:t>介護に係る休暇休業制度</w:t>
            </w:r>
          </w:p>
        </w:tc>
        <w:tc>
          <w:tcPr>
            <w:tcW w:w="126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有</w:t>
            </w:r>
          </w:p>
        </w:tc>
        <w:tc>
          <w:tcPr>
            <w:tcW w:w="126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無</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有</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無</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有</w:t>
            </w:r>
          </w:p>
        </w:tc>
        <w:tc>
          <w:tcPr>
            <w:tcW w:w="1470" w:type="dxa"/>
            <w:shd w:val="clear" w:color="auto" w:fill="FFFFBE"/>
            <w:vAlign w:val="top"/>
          </w:tcPr>
          <w:p>
            <w:pPr>
              <w:pStyle w:val="0"/>
              <w:jc w:val="center"/>
              <w:rPr>
                <w:rFonts w:hint="eastAsia" w:ascii="ＭＳ 明朝" w:hAnsi="ＭＳ 明朝" w:eastAsia="ＭＳ 明朝"/>
                <w:sz w:val="24"/>
              </w:rPr>
            </w:pPr>
            <w:r>
              <w:rPr>
                <w:rFonts w:hint="eastAsia" w:ascii="ＭＳ 明朝" w:hAnsi="ＭＳ 明朝" w:eastAsia="ＭＳ 明朝"/>
                <w:sz w:val="24"/>
              </w:rPr>
              <w:t>無</w:t>
            </w:r>
          </w:p>
        </w:tc>
      </w:tr>
    </w:tbl>
    <w:p>
      <w:pPr>
        <w:pStyle w:val="0"/>
        <w:rPr>
          <w:rFonts w:hint="eastAsia" w:ascii="ＭＳ 明朝" w:hAnsi="ＭＳ 明朝" w:eastAsia="ＭＳ 明朝"/>
          <w:sz w:val="24"/>
          <w:u w:val="none" w:color="auto"/>
        </w:rPr>
      </w:pPr>
      <w:r>
        <w:rPr>
          <w:rFonts w:hint="eastAsia" w:ascii="ＭＳ 明朝" w:hAnsi="ＭＳ 明朝" w:eastAsia="ＭＳ 明朝"/>
          <w:sz w:val="24"/>
          <w:u w:val="none" w:color="auto"/>
        </w:rPr>
        <w:t>　　※社内規定（労使協定等）の制度内容及び取得状況の分かる資料を添付のこと。</w:t>
      </w:r>
    </w:p>
    <w:p>
      <w:pPr>
        <w:pStyle w:val="0"/>
        <w:ind w:left="0" w:leftChars="0" w:firstLine="240" w:firstLineChars="100"/>
        <w:rPr>
          <w:rFonts w:hint="eastAsia" w:ascii="ＭＳ 明朝" w:hAnsi="ＭＳ 明朝" w:eastAsia="ＭＳ 明朝"/>
          <w:sz w:val="24"/>
          <w:u w:val="none" w:color="auto"/>
        </w:rPr>
      </w:pPr>
    </w:p>
    <w:p>
      <w:pPr>
        <w:pStyle w:val="0"/>
        <w:rPr>
          <w:rFonts w:hint="eastAsia" w:ascii="ＭＳ 明朝" w:hAnsi="ＭＳ 明朝" w:eastAsia="ＭＳ 明朝"/>
          <w:b w:val="1"/>
          <w:sz w:val="24"/>
          <w:u w:val="none" w:color="auto"/>
        </w:rPr>
      </w:pPr>
      <w:r>
        <w:rPr>
          <w:rFonts w:hint="eastAsia" w:ascii="ＭＳ 明朝" w:hAnsi="ＭＳ 明朝" w:eastAsia="ＭＳ 明朝"/>
          <w:b w:val="1"/>
          <w:sz w:val="24"/>
          <w:u w:val="none" w:color="auto"/>
        </w:rPr>
        <w:t>（３）企業としてのセクシュアル・ハラスメント防止のための取組みについて</w:t>
      </w:r>
    </w:p>
    <w:p>
      <w:pPr>
        <w:pStyle w:val="0"/>
        <w:ind w:left="660" w:leftChars="200" w:hanging="240" w:hangingChars="100"/>
        <w:rPr>
          <w:rFonts w:hint="eastAsia" w:ascii="ＭＳ 明朝" w:hAnsi="ＭＳ 明朝" w:eastAsia="ＭＳ 明朝"/>
          <w:sz w:val="24"/>
          <w:u w:val="none" w:color="auto"/>
        </w:rPr>
      </w:pPr>
      <w:r>
        <w:rPr>
          <w:rFonts w:hint="eastAsia" w:ascii="ＭＳ 明朝" w:hAnsi="ＭＳ 明朝" w:eastAsia="ＭＳ 明朝"/>
          <w:sz w:val="24"/>
          <w:u w:val="none" w:color="auto"/>
        </w:rPr>
        <w:t>※セクシュアル・ハラスメント等の防止に関する取組がわかるもの、社内規定等（社内報、パンフレット等でも可）を提出すること。</w:t>
      </w:r>
    </w:p>
    <w:p>
      <w:pPr>
        <w:pStyle w:val="0"/>
        <w:ind w:left="660" w:leftChars="200" w:hanging="240" w:hangingChars="100"/>
        <w:rPr>
          <w:rFonts w:hint="eastAsia" w:ascii="ＭＳ 明朝" w:hAnsi="ＭＳ 明朝" w:eastAsia="ＭＳ 明朝"/>
          <w:sz w:val="24"/>
          <w:u w:val="none" w:color="auto"/>
        </w:rPr>
      </w:pPr>
      <w:r>
        <w:rPr>
          <w:rFonts w:hint="eastAsia" w:ascii="ＭＳ 明朝" w:hAnsi="ＭＳ 明朝" w:eastAsia="ＭＳ 明朝"/>
          <w:sz w:val="24"/>
          <w:u w:val="none" w:color="auto"/>
        </w:rPr>
        <w:t>※相談窓口（相談員）の設置（配置）状況がわかるものを提出すること。</w:t>
      </w:r>
    </w:p>
    <w:p>
      <w:pPr>
        <w:pStyle w:val="0"/>
        <w:ind w:left="0" w:leftChars="0" w:firstLine="240" w:firstLineChars="100"/>
        <w:rPr>
          <w:rFonts w:hint="eastAsia" w:ascii="ＭＳ 明朝" w:hAnsi="ＭＳ 明朝" w:eastAsia="ＭＳ 明朝"/>
          <w:sz w:val="24"/>
          <w:u w:val="none" w:color="auto"/>
        </w:rPr>
      </w:pPr>
    </w:p>
    <w:p>
      <w:pPr>
        <w:pStyle w:val="0"/>
        <w:rPr>
          <w:rFonts w:hint="eastAsia" w:ascii="ＭＳ 明朝" w:hAnsi="ＭＳ 明朝" w:eastAsia="ＭＳ 明朝"/>
          <w:b w:val="1"/>
          <w:sz w:val="24"/>
          <w:u w:val="none" w:color="auto"/>
        </w:rPr>
      </w:pPr>
      <w:r>
        <w:rPr>
          <w:rFonts w:hint="eastAsia" w:ascii="ＭＳ 明朝" w:hAnsi="ＭＳ 明朝" w:eastAsia="ＭＳ 明朝"/>
          <w:b w:val="1"/>
          <w:sz w:val="24"/>
          <w:u w:val="none" w:color="auto"/>
        </w:rPr>
        <w:t>（４）企業としてのパワー・ハラスメント防止のための取組みについて</w:t>
      </w:r>
    </w:p>
    <w:p>
      <w:pPr>
        <w:pStyle w:val="0"/>
        <w:ind w:left="660" w:leftChars="200" w:hanging="240" w:hangingChars="100"/>
        <w:rPr>
          <w:rFonts w:hint="eastAsia" w:ascii="ＭＳ 明朝" w:hAnsi="ＭＳ 明朝" w:eastAsia="ＭＳ 明朝"/>
          <w:sz w:val="24"/>
          <w:u w:val="none" w:color="auto"/>
        </w:rPr>
      </w:pPr>
      <w:r>
        <w:rPr>
          <w:rFonts w:hint="eastAsia" w:ascii="ＭＳ 明朝" w:hAnsi="ＭＳ 明朝" w:eastAsia="ＭＳ 明朝"/>
          <w:sz w:val="24"/>
          <w:u w:val="none" w:color="auto"/>
        </w:rPr>
        <w:t>※パワー・ハラスメント等の防止に関する取組がわかるもの、社内規定等（社内報、パンフレット等でも可）を提出すること。</w:t>
      </w:r>
    </w:p>
    <w:p>
      <w:pPr>
        <w:pStyle w:val="0"/>
        <w:ind w:left="660" w:leftChars="200" w:hanging="240" w:hangingChars="100"/>
        <w:rPr>
          <w:rFonts w:hint="eastAsia" w:ascii="ＭＳ 明朝" w:hAnsi="ＭＳ 明朝" w:eastAsia="ＭＳ 明朝"/>
          <w:sz w:val="24"/>
          <w:u w:val="none" w:color="auto"/>
        </w:rPr>
      </w:pPr>
      <w:r>
        <w:rPr>
          <w:rFonts w:hint="eastAsia" w:ascii="ＭＳ 明朝" w:hAnsi="ＭＳ 明朝" w:eastAsia="ＭＳ 明朝"/>
          <w:sz w:val="24"/>
          <w:u w:val="none" w:color="auto"/>
        </w:rPr>
        <w:t>※相談窓口（相談員）の設置（配置）状況がわかるものを提出すること。</w:t>
      </w:r>
    </w:p>
    <w:p>
      <w:pPr>
        <w:pStyle w:val="0"/>
        <w:ind w:left="0" w:leftChars="0" w:firstLine="240" w:firstLineChars="100"/>
        <w:rPr>
          <w:rFonts w:hint="eastAsia" w:ascii="ＭＳ 明朝" w:hAnsi="ＭＳ 明朝" w:eastAsia="ＭＳ 明朝"/>
          <w:sz w:val="24"/>
          <w:u w:val="none" w:color="auto"/>
        </w:rPr>
      </w:pPr>
    </w:p>
    <w:p>
      <w:pPr>
        <w:pStyle w:val="0"/>
        <w:rPr>
          <w:rFonts w:hint="eastAsia" w:ascii="ＭＳ 明朝" w:hAnsi="ＭＳ 明朝" w:eastAsia="ＭＳ 明朝"/>
          <w:sz w:val="24"/>
        </w:rPr>
      </w:pPr>
      <w:r>
        <w:rPr>
          <w:rFonts w:hint="eastAsia" w:ascii="ＭＳ 明朝" w:hAnsi="ＭＳ 明朝" w:eastAsia="ＭＳ 明朝"/>
          <w:b w:val="1"/>
          <w:sz w:val="24"/>
        </w:rPr>
        <w:t>（５）障害者優先調達の実施</w:t>
      </w:r>
    </w:p>
    <w:p>
      <w:pPr>
        <w:pStyle w:val="0"/>
        <w:ind w:left="660" w:leftChars="200" w:hanging="240" w:hangingChars="100"/>
        <w:rPr>
          <w:rFonts w:hint="eastAsia" w:ascii="ＭＳ 明朝" w:hAnsi="ＭＳ 明朝" w:eastAsia="ＭＳ 明朝"/>
          <w:sz w:val="24"/>
        </w:rPr>
      </w:pPr>
      <w:r>
        <w:rPr>
          <w:rFonts w:hint="eastAsia" w:ascii="ＭＳ 明朝" w:hAnsi="ＭＳ 明朝" w:eastAsia="ＭＳ 明朝"/>
          <w:sz w:val="24"/>
        </w:rPr>
        <w:t>※国等による障害者就労施設等からの物品等の調達の推進等に関する法律の趣旨をふまえた、法人としての取組について記載してください。（｢別紙のとおり｣とし、別紙を作成し、添付しても可とする。）</w:t>
      </w:r>
      <w:bookmarkStart w:id="0" w:name="_GoBack"/>
      <w:bookmarkEnd w:id="0"/>
    </w:p>
    <w:p>
      <w:pPr>
        <w:pStyle w:val="0"/>
        <w:ind w:left="660" w:leftChars="200" w:hanging="240" w:hangingChars="100"/>
        <w:rPr>
          <w:rFonts w:hint="eastAsia" w:ascii="ＭＳ 明朝" w:hAnsi="ＭＳ 明朝" w:eastAsia="ＭＳ 明朝"/>
          <w:sz w:val="24"/>
        </w:rPr>
      </w:pPr>
      <w:r>
        <w:rPr>
          <w:rFonts w:hint="eastAsia" w:ascii="ＭＳ 明朝" w:hAnsi="ＭＳ 明朝" w:eastAsia="ＭＳ 明朝"/>
          <w:sz w:val="24"/>
        </w:rPr>
        <w:t>※提案は、具体的かつ簡潔明瞭に記載のこと。</w:t>
      </w:r>
    </w:p>
    <w:tbl>
      <w:tblPr>
        <w:tblStyle w:val="17"/>
        <w:tblW w:w="0" w:type="auto"/>
        <w:tblInd w:w="415" w:type="dxa"/>
        <w:tblLayout w:type="fixed"/>
        <w:tblLook w:firstRow="1" w:lastRow="0" w:firstColumn="1" w:lastColumn="0" w:noHBand="0" w:noVBand="1" w:val="04A0"/>
      </w:tblPr>
      <w:tblGrid>
        <w:gridCol w:w="12737"/>
      </w:tblGrid>
      <w:tr>
        <w:trPr>
          <w:trHeight w:val="2080" w:hRule="atLeast"/>
        </w:trPr>
        <w:tc>
          <w:tcPr>
            <w:tcW w:w="12737" w:type="dxa"/>
            <w:shd w:val="clear" w:color="auto" w:fill="FFFFBE"/>
            <w:vAlign w:val="top"/>
          </w:tcPr>
          <w:p>
            <w:pPr>
              <w:pStyle w:val="0"/>
              <w:rPr>
                <w:rFonts w:hint="eastAsia"/>
                <w:sz w:val="24"/>
              </w:rPr>
            </w:pPr>
          </w:p>
        </w:tc>
      </w:tr>
    </w:tbl>
    <w:p>
      <w:pPr>
        <w:pStyle w:val="0"/>
        <w:ind w:left="660" w:leftChars="200" w:hanging="240" w:hangingChars="100"/>
        <w:rPr>
          <w:rFonts w:hint="eastAsia" w:ascii="ＭＳ 明朝" w:hAnsi="ＭＳ 明朝" w:eastAsia="ＭＳ 明朝"/>
          <w:sz w:val="24"/>
          <w:u w:val="none" w:color="auto"/>
        </w:rPr>
      </w:pPr>
    </w:p>
    <w:sectPr>
      <w:pgSz w:w="16838" w:h="11906" w:orient="landscape"/>
      <w:pgMar w:top="850" w:right="1985" w:bottom="850"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HG創英角ｺﾞｼｯｸUB">
    <w:panose1 w:val="00000000000000000000"/>
    <w:charset w:val="80"/>
    <w:family w:val="moder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SimSun">
    <w:panose1 w:val="00000000000000000000"/>
    <w:charset w:val="80"/>
    <w:family w:val="auto"/>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133</TotalTime>
  <Pages>3</Pages>
  <Words>0</Words>
  <Characters>857</Characters>
  <Application>JUST Note</Application>
  <Lines>151</Lines>
  <Paragraphs>46</Paragraphs>
  <Company>箕面市役所</Company>
  <CharactersWithSpaces>896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松本　茂(手動)</dc:creator>
  <cp:lastModifiedBy>溝越　幸子(手動)</cp:lastModifiedBy>
  <dcterms:created xsi:type="dcterms:W3CDTF">2020-03-04T05:54:00Z</dcterms:created>
  <dcterms:modified xsi:type="dcterms:W3CDTF">2026-02-13T10:35:32Z</dcterms:modified>
  <cp:revision>0</cp:revision>
</cp:coreProperties>
</file>