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</w:t>
      </w:r>
      <w:r>
        <w:rPr>
          <w:rFonts w:hint="eastAsia" w:ascii="ＭＳ 明朝" w:hAnsi="ＭＳ 明朝" w:eastAsia="ＭＳ 明朝"/>
          <w:color w:val="000000" w:themeColor="text1"/>
          <w:sz w:val="24"/>
        </w:rPr>
        <w:t>式１３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【提案書】事業者の同種・類似業務の実績（過去</w:t>
      </w:r>
      <w:r>
        <w:rPr>
          <w:rFonts w:hint="eastAsia" w:ascii="ＭＳ 明朝" w:hAnsi="ＭＳ 明朝" w:eastAsia="ＭＳ 明朝"/>
          <w:b w:val="1"/>
          <w:sz w:val="32"/>
        </w:rPr>
        <w:t>5</w:t>
      </w:r>
      <w:r>
        <w:rPr>
          <w:rFonts w:hint="eastAsia" w:ascii="ＭＳ 明朝" w:hAnsi="ＭＳ 明朝" w:eastAsia="ＭＳ 明朝"/>
          <w:b w:val="1"/>
          <w:sz w:val="32"/>
        </w:rPr>
        <w:t>年間）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8"/>
        <w:tblpPr w:leftFromText="0" w:rightFromText="0" w:topFromText="0" w:bottomFromText="0" w:vertAnchor="text" w:horzAnchor="margin" w:tblpX="323" w:tblpY="94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630"/>
        <w:gridCol w:w="2520"/>
        <w:gridCol w:w="2730"/>
        <w:gridCol w:w="3150"/>
        <w:gridCol w:w="3840"/>
      </w:tblGrid>
      <w:tr>
        <w:trPr>
          <w:trHeight w:val="360" w:hRule="atLeast"/>
        </w:trPr>
        <w:tc>
          <w:tcPr>
            <w:tcW w:w="630" w:type="dxa"/>
            <w:vMerge w:val="restart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24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  <w:b w:val="1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同種・類似業務の実績</w:t>
            </w:r>
          </w:p>
        </w:tc>
      </w:tr>
      <w:tr>
        <w:trPr/>
        <w:tc>
          <w:tcPr>
            <w:tcW w:w="63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52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業務名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発注者</w:t>
            </w:r>
          </w:p>
        </w:tc>
        <w:tc>
          <w:tcPr>
            <w:tcW w:w="315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4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金額</w:t>
            </w:r>
          </w:p>
        </w:tc>
        <w:tc>
          <w:tcPr>
            <w:tcW w:w="3840" w:type="dxa"/>
            <w:vAlign w:val="top"/>
          </w:tcPr>
          <w:p>
            <w:pPr>
              <w:pStyle w:val="0"/>
              <w:jc w:val="center"/>
              <w:rPr>
                <w:rFonts w:hint="eastAsia"/>
                <w:b w:val="1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業務内容</w:t>
            </w: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52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73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840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ind w:left="240" w:hanging="240" w:hanging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※同種・類似業務での受託実績（受注内容及び受注金額）及び直営実績を評価する。（評価対象は令和２年度から令和６年度とする。）</w:t>
      </w:r>
    </w:p>
    <w:p>
      <w:pPr>
        <w:pStyle w:val="0"/>
        <w:ind w:left="240" w:hanging="240" w:hanging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※「同種業務」とは、障害者の日常生活及び社会生活を総合的に支援するための法律（以下「障害者総合支援法」という。）第５条第１項に規定する障害福祉サービス事業のうち「生活介護」とする。</w:t>
      </w:r>
    </w:p>
    <w:p>
      <w:pPr>
        <w:pStyle w:val="0"/>
        <w:ind w:left="240" w:hanging="240" w:hanging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※「類似業務」とは、障害者総合支援法第５条第１項に定める生活介護以外の通所系事業とする。</w:t>
      </w:r>
    </w:p>
    <w:p>
      <w:pPr>
        <w:pStyle w:val="0"/>
        <w:ind w:left="240" w:hanging="240" w:hanging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※指定管理業務については、発注者の欄に地方公共団体の名称を、業務内容の欄に施設規模及び指定期間を記載すること。</w:t>
      </w:r>
    </w:p>
    <w:p>
      <w:pPr>
        <w:pStyle w:val="0"/>
        <w:ind w:left="210" w:leftChars="100" w:firstLine="0" w:firstLineChars="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直営実績については、発注者の欄に直営を、金額欄に決算額を記入すること。</w:t>
      </w:r>
    </w:p>
    <w:p>
      <w:pPr>
        <w:pStyle w:val="0"/>
        <w:ind w:left="240" w:hanging="240" w:hanging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※実績未記入の応募者は、応募資格がないものと判断するので、必ず記載すること。</w:t>
      </w:r>
    </w:p>
    <w:sectPr>
      <w:pgSz w:w="16838" w:h="11906" w:orient="landscape"/>
      <w:pgMar w:top="1417" w:right="1985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138</TotalTime>
  <Pages>2</Pages>
  <Words>4</Words>
  <Characters>359</Characters>
  <Application>JUST Note</Application>
  <Lines>77</Lines>
  <Paragraphs>23</Paragraphs>
  <Company>箕面市役所</Company>
  <CharactersWithSpaces>393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2026-02-06T04:34:19Z</dcterms:modified>
  <cp:revision>4</cp:revision>
</cp:coreProperties>
</file>