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color w:val="auto"/>
          <w:sz w:val="24"/>
        </w:rPr>
      </w:pPr>
      <w:r>
        <w:rPr>
          <w:rFonts w:hint="eastAsia" w:ascii="ＭＳ 明朝" w:hAnsi="ＭＳ 明朝" w:eastAsia="ＭＳ 明朝"/>
          <w:color w:val="auto"/>
          <w:sz w:val="24"/>
        </w:rPr>
        <w:t>様式１０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【提案書】売上高経常利益率の状況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1094" w:tblpY="345"/>
        <w:tblW w:w="0" w:type="auto"/>
        <w:tblLayout w:type="fixed"/>
        <w:tblLook w:firstRow="1" w:lastRow="0" w:firstColumn="1" w:lastColumn="0" w:noHBand="0" w:noVBand="1" w:val="04A0"/>
      </w:tblPr>
      <w:tblGrid>
        <w:gridCol w:w="983"/>
        <w:gridCol w:w="2587"/>
        <w:gridCol w:w="6090"/>
        <w:gridCol w:w="792"/>
      </w:tblGrid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経常利益</w:t>
            </w:r>
          </w:p>
        </w:tc>
        <w:tc>
          <w:tcPr>
            <w:tcW w:w="609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売上高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>
          <w:trHeight w:val="546" w:hRule="atLeast"/>
        </w:trPr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売上高経常利益率</w:t>
            </w:r>
          </w:p>
          <w:p>
            <w:pPr>
              <w:pStyle w:val="0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÷</w:t>
            </w: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％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ind w:firstLine="4800" w:firstLineChars="20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※小数点以下</w:t>
      </w:r>
      <w:r>
        <w:rPr>
          <w:rFonts w:hint="eastAsia" w:ascii="ＭＳ 明朝" w:hAnsi="ＭＳ 明朝" w:eastAsia="ＭＳ 明朝"/>
          <w:sz w:val="24"/>
          <w:u w:val="none" w:color="auto"/>
        </w:rPr>
        <w:t>2</w:t>
      </w:r>
      <w:r>
        <w:rPr>
          <w:rFonts w:hint="eastAsia" w:ascii="ＭＳ 明朝" w:hAnsi="ＭＳ 明朝" w:eastAsia="ＭＳ 明朝"/>
          <w:sz w:val="24"/>
          <w:u w:val="none" w:color="auto"/>
        </w:rPr>
        <w:t>桁目を四捨五入のこと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※令和６年４月１日から令和７年３月３１日事業年度の有価証券報告書の貸借対照表の数値を用いること。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※決算月が</w:t>
      </w:r>
      <w:r>
        <w:rPr>
          <w:rFonts w:hint="eastAsia" w:ascii="ＭＳ 明朝" w:hAnsi="ＭＳ 明朝" w:eastAsia="ＭＳ 明朝"/>
          <w:sz w:val="24"/>
          <w:u w:val="none" w:color="auto"/>
        </w:rPr>
        <w:t>3</w:t>
      </w:r>
      <w:r>
        <w:rPr>
          <w:rFonts w:hint="eastAsia" w:ascii="ＭＳ 明朝" w:hAnsi="ＭＳ 明朝" w:eastAsia="ＭＳ 明朝"/>
          <w:sz w:val="24"/>
          <w:u w:val="none" w:color="auto"/>
        </w:rPr>
        <w:t>月以外の場合は、直近の確定した貸借対照表の数値を用いること。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※数値を引用した書類を添付のうえ、引用数値をマーカーで明示すること。</w:t>
      </w:r>
    </w:p>
    <w:p>
      <w:pPr>
        <w:pStyle w:val="0"/>
        <w:ind w:leftChars="0" w:hanging="209" w:hangingChars="87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</w:t>
      </w:r>
      <w:r>
        <w:rPr>
          <w:rFonts w:hint="eastAsia" w:ascii="ＭＳ 明朝" w:hAnsi="ＭＳ 明朝" w:eastAsia="ＭＳ 明朝"/>
          <w:sz w:val="24"/>
          <w:u w:val="none" w:color="auto"/>
        </w:rPr>
        <w:t>NPO</w:t>
      </w:r>
      <w:r>
        <w:rPr>
          <w:rFonts w:hint="eastAsia" w:ascii="ＭＳ 明朝" w:hAnsi="ＭＳ 明朝" w:eastAsia="ＭＳ 明朝"/>
          <w:sz w:val="24"/>
          <w:u w:val="none" w:color="auto"/>
        </w:rPr>
        <w:t>法人等の公益法人については、「売上高」を「事業収益」に、「経常利益」を「評価損益等調整前当期経常増減額」に読み替えること。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58</TotalTime>
  <Pages>1</Pages>
  <Words>8</Words>
  <Characters>294</Characters>
  <Application>JUST Note</Application>
  <Lines>35</Lines>
  <Paragraphs>19</Paragraphs>
  <Company>箕面市役所</Company>
  <CharactersWithSpaces>328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2025-12-02T02:37:38Z</dcterms:modified>
  <cp:revision>1</cp:revision>
</cp:coreProperties>
</file>