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式１７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雇用率（令和５年６月１</w:t>
      </w:r>
      <w:r>
        <w:rPr>
          <w:rFonts w:hint="eastAsia" w:ascii="ＭＳ 明朝" w:hAnsi="ＭＳ 明朝" w:eastAsia="ＭＳ 明朝"/>
          <w:b w:val="1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</w:t>
      </w:r>
      <w:r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  <w:t>は、令和５年６月１日現在の状</w:t>
      </w:r>
      <w:r>
        <w:rPr>
          <w:rFonts w:hint="eastAsia" w:ascii="ＭＳ 明朝" w:hAnsi="ＭＳ 明朝" w:eastAsia="ＭＳ 明朝"/>
          <w:sz w:val="20"/>
          <w:u w:val="none" w:color="auto"/>
        </w:rPr>
        <w:t>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が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43.5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人以上</w:t>
      </w:r>
      <w:r>
        <w:rPr>
          <w:rFonts w:hint="eastAsia" w:ascii="ＭＳ 明朝" w:hAnsi="ＭＳ 明朝" w:eastAsia="ＭＳ 明朝"/>
          <w:sz w:val="20"/>
          <w:u w:val="none" w:color="auto"/>
        </w:rPr>
        <w:t>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highlight w:val="none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用されると見込まれる短時間労働者は、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ab/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　※短時間労働の精神障害者は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人として換算する。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32</Words>
  <Characters>923</Characters>
  <Application>JUST Note</Application>
  <Lines>153</Lines>
  <Paragraphs>55</Paragraphs>
  <Company>箕面市役所</Company>
  <CharactersWithSpaces>1014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2020-03-05T05:58:00Z</dcterms:created>
  <dcterms:modified xsi:type="dcterms:W3CDTF">2024-04-10T13:42:48Z</dcterms:modified>
  <cp:revision>14</cp:revision>
</cp:coreProperties>
</file>