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適正な履行確保のための業務体制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1"/>
        </w:rPr>
        <w:t>応募者名</w:t>
      </w:r>
      <w:r>
        <w:rPr>
          <w:rFonts w:hint="eastAsia"/>
          <w:sz w:val="21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</w:rPr>
      </w:pPr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485"/>
      </w:tblGrid>
      <w:tr>
        <w:trPr>
          <w:trHeight w:val="6268" w:hRule="atLeast"/>
        </w:trPr>
        <w:tc>
          <w:tcPr>
            <w:tcW w:w="14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業務を実施するに当たっての履行体制、作業計画、会計等事務の執行、確認体制を記載すること。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また、災害時や緊急時における履行体制も作成すること。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※「別紙のとおり」として、別に履行体制、作業計画書を作成し、添付しても差し支えない。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※職種、必要な資格、人数、役割等について記載すること。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※作業計画は、具体的かつ簡潔明瞭に記載すること。</w:t>
            </w:r>
            <w:bookmarkStart w:id="0" w:name="_GoBack"/>
            <w:bookmarkEnd w:id="0"/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※業務の履行体制、業務フロー、災害時・緊急時の履行体制等を評価する。</w:t>
      </w:r>
    </w:p>
    <w:p>
      <w:pPr>
        <w:pStyle w:val="0"/>
        <w:rPr>
          <w:rFonts w:hint="eastAsia"/>
        </w:rPr>
      </w:pPr>
      <w:r>
        <w:rPr>
          <w:rFonts w:hint="eastAsia"/>
          <w:sz w:val="22"/>
        </w:rPr>
        <w:t>※必要であれば、資料等を添付すること。</w:t>
      </w: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（様式１０）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307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2019-10-09T01:41:29Z</cp:lastPrinted>
  <dcterms:created xsi:type="dcterms:W3CDTF">2019-10-08T04:48:00Z</dcterms:created>
  <dcterms:modified xsi:type="dcterms:W3CDTF">2019-10-10T10:19:04Z</dcterms:modified>
  <cp:revision>5</cp:revision>
</cp:coreProperties>
</file>