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000000" w:themeColor="text1"/>
          <w:sz w:val="24"/>
        </w:rPr>
        <w:t>様式２６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【提案書】セクシュアル・ハラスメント防止への取組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1"/>
          <w:u w:val="none" w:color="auto"/>
        </w:rPr>
      </w:pPr>
      <w:r>
        <w:rPr>
          <w:rFonts w:hint="eastAsia" w:ascii="ＭＳ 明朝" w:hAnsi="ＭＳ 明朝" w:eastAsia="ＭＳ 明朝"/>
          <w:b w:val="1"/>
          <w:sz w:val="21"/>
          <w:u w:val="none" w:color="auto"/>
        </w:rPr>
        <w:t>■企業としてのセクシュアル・ハラスメント防止のための取組みについて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※具体的かつ簡潔明瞭に記入すること。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411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※セクシュアル・ハラスメント等の防止に関する取組がわかるもの、社内規定等（社内報、パンフレット等でも可）を提出すること。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※相談窓口（相談員）の設置（配置）状況がわかるものを提出すること。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224</TotalTime>
  <Pages>1</Pages>
  <Words>0</Words>
  <Characters>206</Characters>
  <Application>JUST Note</Application>
  <Lines>11</Lines>
  <Paragraphs>8</Paragraphs>
  <Company>箕面市役所</Company>
  <CharactersWithSpaces>240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2024-04-10T12:20:57Z</dcterms:modified>
  <cp:revision>5</cp:revision>
</cp:coreProperties>
</file>