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１８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【提案書】実施方針等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■本業務の実施方法や実施体制、工程表等について記載すること。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※業務を実施するにあたり、より効果的かつ効率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  <w:u w:val="none" w:color="auto"/>
        </w:rPr>
        <w:t>的に行うために配慮すべき事項とその方針について、具体的かつ簡潔明瞭に記載すること。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※｢別紙のとおり｣とし、別紙を作成し、添付しても可とする。（任意様式）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山口　朝子(手動)</cp:lastModifiedBy>
  <dcterms:created xsi:type="dcterms:W3CDTF">2020-03-04T05:54:00Z</dcterms:created>
  <dcterms:modified xsi:type="dcterms:W3CDTF">2024-03-29T07:40:17Z</dcterms:modified>
  <cp:revision>1</cp:revision>
</cp:coreProperties>
</file>