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B-A)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C-B)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B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D-C)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16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（様式５）経常利益の状況</dc:title>
  <cp:lastModifiedBy>井上　友貴(手動)</cp:lastModifiedBy>
  <dcterms:created xsi:type="dcterms:W3CDTF">2020-03-04T05:54:00Z</dcterms:created>
  <dcterms:modified xsi:type="dcterms:W3CDTF">2024-03-18T05:27:27Z</dcterms:modified>
  <cp:revision>0</cp:revision>
</cp:coreProperties>
</file>