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color w:val="auto"/>
          <w:sz w:val="24"/>
        </w:rPr>
        <w:t>様式６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【提案書】経常利益の状況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411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3370"/>
        <w:gridCol w:w="2310"/>
        <w:gridCol w:w="2310"/>
        <w:gridCol w:w="2310"/>
        <w:gridCol w:w="2310"/>
      </w:tblGrid>
      <w:tr>
        <w:trPr>
          <w:trHeight w:val="736" w:hRule="atLeast"/>
        </w:trPr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rPr>
                <w:rFonts w:hint="eastAsia"/>
                <w:sz w:val="24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令和元年度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A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令和</w:t>
            </w:r>
            <w:r>
              <w:rPr>
                <w:rFonts w:hint="eastAsia"/>
                <w:color w:val="auto"/>
                <w:sz w:val="24"/>
              </w:rPr>
              <w:t>2</w:t>
            </w:r>
            <w:r>
              <w:rPr>
                <w:rFonts w:hint="eastAsia"/>
                <w:color w:val="auto"/>
                <w:sz w:val="24"/>
              </w:rPr>
              <w:t>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B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令和</w:t>
            </w:r>
            <w:r>
              <w:rPr>
                <w:rFonts w:hint="eastAsia"/>
                <w:color w:val="auto"/>
                <w:sz w:val="24"/>
              </w:rPr>
              <w:t>3</w:t>
            </w:r>
            <w:r>
              <w:rPr>
                <w:rFonts w:hint="eastAsia"/>
                <w:color w:val="auto"/>
                <w:sz w:val="24"/>
              </w:rPr>
              <w:t>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C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令和</w:t>
            </w:r>
            <w:r>
              <w:rPr>
                <w:rFonts w:hint="eastAsia"/>
                <w:color w:val="auto"/>
                <w:sz w:val="24"/>
              </w:rPr>
              <w:t>4</w:t>
            </w:r>
            <w:r>
              <w:rPr>
                <w:rFonts w:hint="eastAsia"/>
                <w:color w:val="auto"/>
                <w:sz w:val="24"/>
              </w:rPr>
              <w:t>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D</w:t>
            </w:r>
          </w:p>
        </w:tc>
      </w:tr>
      <w:tr>
        <w:trPr/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経常利益（円）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0" w:hRule="atLeast"/>
        </w:trPr>
        <w:tc>
          <w:tcPr>
            <w:tcW w:w="337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経常利益伸び率（％）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eastAsia"/>
                <w:highlight w:val="lightGray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B-A)</w:t>
            </w:r>
            <w:r>
              <w:rPr>
                <w:rFonts w:hint="eastAsia"/>
              </w:rPr>
              <w:t>÷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100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C-B)</w:t>
            </w:r>
            <w:r>
              <w:rPr>
                <w:rFonts w:hint="eastAsia"/>
              </w:rPr>
              <w:t>÷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100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D-C)</w:t>
            </w:r>
            <w:r>
              <w:rPr>
                <w:rFonts w:hint="eastAsia"/>
              </w:rPr>
              <w:t>÷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100</w:t>
            </w:r>
          </w:p>
        </w:tc>
      </w:tr>
      <w:tr>
        <w:trPr>
          <w:trHeight w:val="833" w:hRule="atLeast"/>
        </w:trPr>
        <w:tc>
          <w:tcPr>
            <w:tcW w:w="3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23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single" w:color="auto" w:sz="8" w:space="0"/>
              <w:tr2bl w:val="nil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eastAsia"/>
                <w:sz w:val="24"/>
                <w:highlight w:val="lightGray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2" behindDoc="0" locked="0" layoutInCell="1" hidden="0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-17780</wp:posOffset>
                      </wp:positionV>
                      <wp:extent cx="5876925" cy="9525"/>
                      <wp:effectExtent l="635" t="635" r="29210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/>
                            <wps:spPr>
                              <a:xfrm flipV="1">
                                <a:off x="0" y="0"/>
                                <a:ext cx="5876925" cy="9525"/>
                              </a:xfrm>
                              <a:prstGeom prst="line">
                                <a:avLst/>
                              </a:prstGeom>
                              <a:ln w="6350" cap="flat" cmpd="sng" algn="ctr">
                                <a:solidFill>
                                  <a:schemeClr val="dk1"/>
                                </a:solidFill>
                                <a:prstDash val="sysDash"/>
                                <a:miter lim="800000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オブジェクト 0" style="mso-wrap-distance-top:0pt;flip:y;mso-wrap-distance-right:16pt;mso-wrap-distance-bottom:0pt;mso-position-vertical-relative:text;mso-position-horizontal-relative:text;position:absolute;mso-wrap-distance-left:16pt;z-index:2;" o:spid="_x0000_s1026" o:allowincell="t" o:allowoverlap="t" filled="f" stroked="t" strokecolor="#000000 [3200]" strokeweight="0.5pt" o:spt="20" from="-5.25pt,-1.4pt" to="457.5pt,-0.65pt">
                      <v:fill/>
                      <v:stroke linestyle="single" miterlimit="8" endcap="flat" dashstyle="shortdash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</w:p>
        </w:tc>
        <w:tc>
          <w:tcPr>
            <w:tcW w:w="23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left="3840" w:hanging="3840" w:hangingChars="16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　　※経常利益伸び率は、小数点以下</w:t>
      </w:r>
      <w:r>
        <w:rPr>
          <w:rFonts w:hint="eastAsia" w:ascii="ＭＳ 明朝" w:hAnsi="ＭＳ 明朝" w:eastAsia="ＭＳ 明朝"/>
          <w:sz w:val="24"/>
          <w:u w:val="none" w:color="auto"/>
        </w:rPr>
        <w:t>2</w:t>
      </w:r>
      <w:r>
        <w:rPr>
          <w:rFonts w:hint="eastAsia" w:ascii="ＭＳ 明朝" w:hAnsi="ＭＳ 明朝" w:eastAsia="ＭＳ 明朝"/>
          <w:sz w:val="24"/>
          <w:u w:val="none" w:color="auto"/>
        </w:rPr>
        <w:t>桁目を四捨五入のこと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※直近</w:t>
      </w:r>
      <w:r>
        <w:rPr>
          <w:rFonts w:hint="eastAsia" w:ascii="ＭＳ 明朝" w:hAnsi="ＭＳ 明朝" w:eastAsia="ＭＳ 明朝"/>
          <w:sz w:val="24"/>
          <w:u w:val="none" w:color="auto"/>
        </w:rPr>
        <w:t>4</w:t>
      </w:r>
      <w:r>
        <w:rPr>
          <w:rFonts w:hint="eastAsia" w:ascii="ＭＳ 明朝" w:hAnsi="ＭＳ 明朝" w:eastAsia="ＭＳ 明朝"/>
          <w:sz w:val="24"/>
          <w:u w:val="none" w:color="auto"/>
        </w:rPr>
        <w:t>事業年度分の有価証券報告書の損益計算書の数値を用いること。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※経常利益伸び率＝（当期経常利益－前期経常利益）÷前期経常利益×</w:t>
      </w:r>
      <w:r>
        <w:rPr>
          <w:rFonts w:hint="eastAsia" w:ascii="ＭＳ 明朝" w:hAnsi="ＭＳ 明朝" w:eastAsia="ＭＳ 明朝"/>
          <w:sz w:val="24"/>
          <w:u w:val="none" w:color="auto"/>
        </w:rPr>
        <w:t>100</w:t>
      </w:r>
      <w:r>
        <w:rPr>
          <w:rFonts w:hint="eastAsia" w:ascii="ＭＳ 明朝" w:hAnsi="ＭＳ 明朝" w:eastAsia="ＭＳ 明朝"/>
          <w:sz w:val="24"/>
          <w:u w:val="none" w:color="auto"/>
        </w:rPr>
        <w:t>で計算すること。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※数値を引用した書類を添付のうえ、引用数値をマーカーで明示すること。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※グループ参加での提案の場合、代表者を評価の対象とする。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65</TotalTime>
  <Pages>1</Pages>
  <Words>19</Words>
  <Characters>303</Characters>
  <Application>JUST Note</Application>
  <Lines>51</Lines>
  <Paragraphs>22</Paragraphs>
  <Company>箕面市役所</Company>
  <CharactersWithSpaces>353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立田　雄(手動)</cp:lastModifiedBy>
  <cp:lastPrinted>2020-07-27T08:45:00Z</cp:lastPrinted>
  <dcterms:created xsi:type="dcterms:W3CDTF">2020-03-04T05:54:00Z</dcterms:created>
  <dcterms:modified xsi:type="dcterms:W3CDTF">2023-08-01T07:25:40Z</dcterms:modified>
  <cp:revision>1</cp:revision>
</cp:coreProperties>
</file>