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AC7" w:rsidRDefault="00945AC7">
      <w:r w:rsidRPr="00945AC7">
        <w:rPr>
          <w:rFonts w:ascii="ＭＳ 明朝" w:eastAsia="ＭＳ 明朝" w:hAnsi="ＭＳ 明朝"/>
        </w:rPr>
        <w:pict>
          <v:shapetype id="_x0000_t202" coordsize="21600,21600" o:spt="202" path="m,l,21600r21600,l21600,xe">
            <v:stroke joinstyle="miter"/>
            <v:path gradientshapeok="t" o:connecttype="rect"/>
          </v:shapetype>
          <v:shape id="テキスト ボックス 1" o:spid="_x0000_s2050" type="#_x0000_t202" style="position:absolute;left:0;text-align:left;margin-left:219.25pt;margin-top:-27.4pt;width:279pt;height:27pt;z-index:2;mso-position-horizontal-relative:text;mso-position-vertical-relative:text" filled="f" strokecolor="red" strokeweight="2pt">
            <v:textbox inset="5.85pt,1.05mm,5.85pt,.7pt">
              <w:txbxContent>
                <w:p w:rsidR="00945AC7" w:rsidRDefault="00F216FC">
                  <w:pPr>
                    <w:jc w:val="distribute"/>
                  </w:pPr>
                  <w:r>
                    <w:rPr>
                      <w:rFonts w:hint="eastAsia"/>
                      <w:color w:val="FF0000"/>
                    </w:rPr>
                    <w:t>赤字の記載については提出時には削除すること</w:t>
                  </w:r>
                </w:p>
              </w:txbxContent>
            </v:textbox>
          </v:shape>
        </w:pict>
      </w:r>
      <w:bookmarkStart w:id="0" w:name="_GoBack"/>
      <w:bookmarkEnd w:id="0"/>
      <w:r w:rsidR="00F216FC">
        <w:rPr>
          <w:rFonts w:hint="eastAsia"/>
        </w:rPr>
        <w:t>（様式２１）</w:t>
      </w:r>
    </w:p>
    <w:p w:rsidR="00945AC7" w:rsidRDefault="00945AC7"/>
    <w:p w:rsidR="00945AC7" w:rsidRDefault="00F216FC">
      <w:pPr>
        <w:jc w:val="right"/>
      </w:pPr>
      <w:r>
        <w:rPr>
          <w:rFonts w:hint="eastAsia"/>
        </w:rPr>
        <w:t>平成２８年</w:t>
      </w:r>
      <w:r>
        <w:rPr>
          <w:rFonts w:hint="eastAsia"/>
        </w:rPr>
        <w:t>(2016</w:t>
      </w:r>
      <w:r>
        <w:rPr>
          <w:rFonts w:hint="eastAsia"/>
        </w:rPr>
        <w:t>年</w:t>
      </w:r>
      <w:r>
        <w:rPr>
          <w:rFonts w:hint="eastAsia"/>
        </w:rPr>
        <w:t>)</w:t>
      </w:r>
      <w:r>
        <w:rPr>
          <w:rFonts w:hint="eastAsia"/>
        </w:rPr>
        <w:t xml:space="preserve">　　月　　日</w:t>
      </w:r>
    </w:p>
    <w:p w:rsidR="00945AC7" w:rsidRDefault="00945AC7">
      <w:pPr>
        <w:jc w:val="left"/>
      </w:pPr>
    </w:p>
    <w:p w:rsidR="00945AC7" w:rsidRDefault="00945AC7">
      <w:pPr>
        <w:jc w:val="left"/>
      </w:pPr>
    </w:p>
    <w:p w:rsidR="00945AC7" w:rsidRDefault="00F216FC">
      <w:pPr>
        <w:spacing w:line="480" w:lineRule="exact"/>
        <w:jc w:val="center"/>
        <w:rPr>
          <w:rFonts w:ascii="HG創英角ｺﾞｼｯｸUB" w:eastAsia="HG創英角ｺﾞｼｯｸUB" w:hAnsi="HG創英角ｺﾞｼｯｸUB"/>
          <w:sz w:val="30"/>
        </w:rPr>
      </w:pPr>
      <w:r>
        <w:rPr>
          <w:rFonts w:ascii="HG創英角ｺﾞｼｯｸUB" w:eastAsia="HG創英角ｺﾞｼｯｸUB" w:hAnsi="HG創英角ｺﾞｼｯｸUB" w:hint="eastAsia"/>
          <w:sz w:val="30"/>
        </w:rPr>
        <w:t>箕面市証明書コンビニエンスストア交付システム構築業務委託</w:t>
      </w:r>
    </w:p>
    <w:p w:rsidR="00945AC7" w:rsidRDefault="00F216FC">
      <w:pPr>
        <w:spacing w:line="480" w:lineRule="exact"/>
        <w:jc w:val="center"/>
        <w:rPr>
          <w:sz w:val="30"/>
        </w:rPr>
      </w:pPr>
      <w:r>
        <w:rPr>
          <w:rFonts w:ascii="HG創英角ｺﾞｼｯｸUB" w:eastAsia="HG創英角ｺﾞｼｯｸUB" w:hAnsi="HG創英角ｺﾞｼｯｸUB" w:hint="eastAsia"/>
          <w:sz w:val="30"/>
        </w:rPr>
        <w:t>特定事項提案書</w:t>
      </w:r>
    </w:p>
    <w:p w:rsidR="00945AC7" w:rsidRDefault="00945AC7">
      <w:pPr>
        <w:jc w:val="left"/>
      </w:pPr>
    </w:p>
    <w:p w:rsidR="00945AC7" w:rsidRDefault="00945AC7">
      <w:pPr>
        <w:jc w:val="left"/>
      </w:pPr>
    </w:p>
    <w:p w:rsidR="00945AC7" w:rsidRDefault="00F216FC">
      <w:pPr>
        <w:wordWrap w:val="0"/>
        <w:jc w:val="right"/>
        <w:rPr>
          <w:u w:val="single"/>
        </w:rPr>
      </w:pPr>
      <w:r>
        <w:rPr>
          <w:rFonts w:hint="eastAsia"/>
          <w:u w:val="single"/>
        </w:rPr>
        <w:t xml:space="preserve">入札者名　　　　　　　　　　　　</w:t>
      </w:r>
    </w:p>
    <w:p w:rsidR="00945AC7" w:rsidRDefault="00945AC7">
      <w:pPr>
        <w:jc w:val="left"/>
      </w:pPr>
    </w:p>
    <w:p w:rsidR="00945AC7" w:rsidRDefault="00F216FC" w:rsidP="00F216FC">
      <w:pPr>
        <w:ind w:left="252" w:hangingChars="100" w:hanging="252"/>
        <w:jc w:val="left"/>
      </w:pPr>
      <w:r>
        <w:rPr>
          <w:rFonts w:hint="eastAsia"/>
        </w:rPr>
        <w:t>※　本書の作成に当たっては、具体的かつ簡潔明瞭に記載すること。ただし、適宜、図・表等を挿入しても差し支えない。また、「別紙のとおり」として別に提案書を添付しても差し支えない。</w:t>
      </w:r>
    </w:p>
    <w:p w:rsidR="00945AC7" w:rsidRDefault="00945AC7" w:rsidP="00F216FC">
      <w:pPr>
        <w:ind w:left="252" w:hangingChars="100" w:hanging="252"/>
        <w:jc w:val="left"/>
      </w:pPr>
    </w:p>
    <w:p w:rsidR="00945AC7" w:rsidRDefault="00F216FC">
      <w:pPr>
        <w:jc w:val="left"/>
      </w:pPr>
      <w:r>
        <w:rPr>
          <w:rFonts w:hint="eastAsia"/>
        </w:rPr>
        <w:t>１　機器構成</w:t>
      </w:r>
    </w:p>
    <w:p w:rsidR="00945AC7" w:rsidRDefault="00F216FC">
      <w:pPr>
        <w:ind w:leftChars="100" w:left="252"/>
        <w:jc w:val="left"/>
        <w:rPr>
          <w:color w:val="FF0000"/>
        </w:rPr>
      </w:pPr>
      <w:r>
        <w:rPr>
          <w:rFonts w:hint="eastAsia"/>
          <w:color w:val="FF0000"/>
        </w:rPr>
        <w:t>※　以下の点に留意して記載すること。</w:t>
      </w:r>
    </w:p>
    <w:p w:rsidR="00945AC7" w:rsidRDefault="00F216FC">
      <w:pPr>
        <w:ind w:leftChars="200" w:left="756" w:hangingChars="100" w:hanging="252"/>
        <w:jc w:val="left"/>
        <w:rPr>
          <w:color w:val="FF0000"/>
        </w:rPr>
      </w:pPr>
      <w:r>
        <w:rPr>
          <w:rFonts w:hint="eastAsia"/>
          <w:color w:val="FF0000"/>
        </w:rPr>
        <w:t>・本市にとって契約時から５年以上（端末機は６年以上）は最適稼働し、使用できる機器構成について</w:t>
      </w:r>
    </w:p>
    <w:p w:rsidR="00945AC7" w:rsidRDefault="00F216FC">
      <w:pPr>
        <w:ind w:leftChars="200" w:left="756" w:hangingChars="100" w:hanging="252"/>
        <w:jc w:val="left"/>
        <w:rPr>
          <w:color w:val="FF0000"/>
        </w:rPr>
      </w:pPr>
      <w:r>
        <w:rPr>
          <w:rFonts w:hint="eastAsia"/>
          <w:color w:val="FF0000"/>
        </w:rPr>
        <w:t>・現行稼働している機器のうち、使用し続ける機器が問題なく稼働する機器構成について</w:t>
      </w:r>
    </w:p>
    <w:p w:rsidR="00945AC7" w:rsidRDefault="00F216FC">
      <w:pPr>
        <w:ind w:leftChars="200" w:left="756" w:hangingChars="100" w:hanging="252"/>
        <w:jc w:val="left"/>
      </w:pPr>
      <w:r>
        <w:rPr>
          <w:rFonts w:hint="eastAsia"/>
          <w:color w:val="FF0000"/>
        </w:rPr>
        <w:t>・運用管理が容易であるとともに、システムの安定稼働を可能とする機器構成について</w:t>
      </w:r>
    </w:p>
    <w:p w:rsidR="00945AC7" w:rsidRDefault="00F216FC">
      <w:pPr>
        <w:ind w:leftChars="200" w:left="756" w:hangingChars="100" w:hanging="252"/>
        <w:jc w:val="left"/>
      </w:pPr>
      <w:r>
        <w:rPr>
          <w:rFonts w:hint="eastAsia"/>
          <w:color w:val="FF0000"/>
        </w:rPr>
        <w:t>・運用管理が容易であるとともに、システムの安定稼働を可能とするネットワーク構成（データセンターの接続回線を含む）について</w:t>
      </w:r>
    </w:p>
    <w:p w:rsidR="00945AC7" w:rsidRDefault="00945AC7" w:rsidP="00F216FC">
      <w:pPr>
        <w:ind w:left="1008" w:hangingChars="400" w:hanging="1008"/>
        <w:jc w:val="left"/>
      </w:pPr>
    </w:p>
    <w:p w:rsidR="00945AC7" w:rsidRDefault="00F216FC" w:rsidP="00F216FC">
      <w:pPr>
        <w:ind w:left="1008" w:hangingChars="400" w:hanging="1008"/>
        <w:jc w:val="left"/>
      </w:pPr>
      <w:r>
        <w:rPr>
          <w:rFonts w:hint="eastAsia"/>
        </w:rPr>
        <w:t>２　ソフトウェア構成</w:t>
      </w:r>
    </w:p>
    <w:p w:rsidR="00945AC7" w:rsidRDefault="00F216FC">
      <w:pPr>
        <w:ind w:leftChars="100" w:left="252"/>
        <w:jc w:val="left"/>
        <w:rPr>
          <w:color w:val="FF0000"/>
        </w:rPr>
      </w:pPr>
      <w:r>
        <w:rPr>
          <w:rFonts w:hint="eastAsia"/>
        </w:rPr>
        <w:t xml:space="preserve">　</w:t>
      </w:r>
      <w:r>
        <w:rPr>
          <w:rFonts w:hint="eastAsia"/>
          <w:color w:val="FF0000"/>
        </w:rPr>
        <w:t>※　以下の点に留意して記載すること。</w:t>
      </w:r>
    </w:p>
    <w:p w:rsidR="00945AC7" w:rsidRDefault="00F216FC">
      <w:pPr>
        <w:ind w:leftChars="200" w:left="756" w:hangingChars="100" w:hanging="252"/>
        <w:jc w:val="left"/>
        <w:rPr>
          <w:color w:val="FF0000"/>
        </w:rPr>
      </w:pPr>
      <w:r>
        <w:rPr>
          <w:rFonts w:hint="eastAsia"/>
          <w:color w:val="FF0000"/>
        </w:rPr>
        <w:t>・１０年間サポートが受けられるパッケージシステムについて</w:t>
      </w:r>
    </w:p>
    <w:p w:rsidR="00945AC7" w:rsidRDefault="00F216FC">
      <w:pPr>
        <w:ind w:leftChars="300" w:left="1008" w:hangingChars="100" w:hanging="252"/>
        <w:jc w:val="left"/>
        <w:rPr>
          <w:color w:val="FF0000"/>
        </w:rPr>
      </w:pPr>
      <w:r>
        <w:rPr>
          <w:rFonts w:hint="eastAsia"/>
          <w:color w:val="FF0000"/>
        </w:rPr>
        <w:t>（サポート期間内にバージョンアップしてもソフトウェアについて別途費用がかからないものであること。）</w:t>
      </w:r>
    </w:p>
    <w:p w:rsidR="00945AC7" w:rsidRDefault="00F216FC">
      <w:pPr>
        <w:ind w:leftChars="300" w:left="1008" w:hangingChars="100" w:hanging="252"/>
        <w:jc w:val="left"/>
        <w:rPr>
          <w:color w:val="FF0000"/>
        </w:rPr>
      </w:pPr>
      <w:r>
        <w:rPr>
          <w:rFonts w:hint="eastAsia"/>
          <w:color w:val="FF0000"/>
        </w:rPr>
        <w:t>（期間内に機器を更新した場合にも、パッケージソフトウェアに関する費用が発生しないこと更新した機器での動作が保証されるものであること。）</w:t>
      </w:r>
    </w:p>
    <w:p w:rsidR="00945AC7" w:rsidRDefault="00F216FC">
      <w:pPr>
        <w:ind w:leftChars="200" w:left="756" w:hangingChars="100" w:hanging="252"/>
        <w:jc w:val="left"/>
      </w:pPr>
      <w:r>
        <w:rPr>
          <w:rFonts w:hint="eastAsia"/>
          <w:color w:val="FF0000"/>
        </w:rPr>
        <w:t>・現行稼働している機器のうち、使</w:t>
      </w:r>
      <w:r>
        <w:rPr>
          <w:rFonts w:hint="eastAsia"/>
          <w:color w:val="FF0000"/>
        </w:rPr>
        <w:t>用し続ける機器が問題なく稼働するソフ</w:t>
      </w:r>
      <w:r>
        <w:rPr>
          <w:rFonts w:hint="eastAsia"/>
          <w:color w:val="FF0000"/>
        </w:rPr>
        <w:lastRenderedPageBreak/>
        <w:t>トウェア構成について</w:t>
      </w:r>
    </w:p>
    <w:p w:rsidR="00945AC7" w:rsidRDefault="00F216FC">
      <w:pPr>
        <w:ind w:leftChars="200" w:left="756" w:hangingChars="100" w:hanging="252"/>
        <w:jc w:val="left"/>
      </w:pPr>
      <w:r>
        <w:rPr>
          <w:rFonts w:hint="eastAsia"/>
          <w:color w:val="FF0000"/>
        </w:rPr>
        <w:t>・運用管理が容易であるとともに、システムの安定稼働を可能とするソフトウェア構成について</w:t>
      </w:r>
    </w:p>
    <w:p w:rsidR="00945AC7" w:rsidRDefault="00945AC7" w:rsidP="00F216FC">
      <w:pPr>
        <w:ind w:left="1008" w:hangingChars="400" w:hanging="1008"/>
        <w:jc w:val="left"/>
      </w:pPr>
    </w:p>
    <w:p w:rsidR="00945AC7" w:rsidRDefault="00F216FC" w:rsidP="00F216FC">
      <w:pPr>
        <w:ind w:left="1008" w:hangingChars="400" w:hanging="1008"/>
        <w:jc w:val="left"/>
      </w:pPr>
      <w:r>
        <w:rPr>
          <w:rFonts w:hint="eastAsia"/>
        </w:rPr>
        <w:t>３　運用管理・保守</w:t>
      </w:r>
    </w:p>
    <w:p w:rsidR="00945AC7" w:rsidRDefault="00F216FC">
      <w:pPr>
        <w:ind w:leftChars="100" w:left="252"/>
        <w:jc w:val="left"/>
        <w:rPr>
          <w:color w:val="FF0000"/>
        </w:rPr>
      </w:pPr>
      <w:r>
        <w:rPr>
          <w:rFonts w:hint="eastAsia"/>
          <w:color w:val="FF0000"/>
        </w:rPr>
        <w:t>※　以下の点に留意して記載すること。</w:t>
      </w:r>
    </w:p>
    <w:p w:rsidR="00945AC7" w:rsidRDefault="00F216FC">
      <w:pPr>
        <w:ind w:leftChars="200" w:left="756" w:hangingChars="100" w:hanging="252"/>
        <w:jc w:val="left"/>
        <w:rPr>
          <w:color w:val="FF0000"/>
        </w:rPr>
      </w:pPr>
      <w:r>
        <w:rPr>
          <w:rFonts w:hint="eastAsia"/>
          <w:color w:val="FF0000"/>
        </w:rPr>
        <w:t>・システムの運用管理体制について</w:t>
      </w:r>
    </w:p>
    <w:p w:rsidR="00945AC7" w:rsidRDefault="00F216FC">
      <w:pPr>
        <w:ind w:leftChars="200" w:left="756" w:hangingChars="100" w:hanging="252"/>
        <w:jc w:val="left"/>
        <w:rPr>
          <w:color w:val="FF0000"/>
        </w:rPr>
      </w:pPr>
      <w:r>
        <w:rPr>
          <w:rFonts w:hint="eastAsia"/>
          <w:color w:val="FF0000"/>
        </w:rPr>
        <w:t>・災害等緊急時における業務履行体制について</w:t>
      </w:r>
    </w:p>
    <w:p w:rsidR="00945AC7" w:rsidRDefault="00F216FC">
      <w:pPr>
        <w:ind w:leftChars="200" w:left="756" w:hangingChars="100" w:hanging="252"/>
        <w:jc w:val="left"/>
        <w:rPr>
          <w:color w:val="FF0000"/>
        </w:rPr>
      </w:pPr>
      <w:r>
        <w:rPr>
          <w:rFonts w:hint="eastAsia"/>
          <w:color w:val="FF0000"/>
        </w:rPr>
        <w:t>・パッケージの品質管理フロー（バージョンアップ・カスタマイズ・パッチ適用）について</w:t>
      </w:r>
    </w:p>
    <w:p w:rsidR="00945AC7" w:rsidRDefault="00F216FC">
      <w:pPr>
        <w:ind w:leftChars="200" w:left="756" w:hangingChars="100" w:hanging="252"/>
        <w:jc w:val="left"/>
        <w:rPr>
          <w:color w:val="FF0000"/>
        </w:rPr>
      </w:pPr>
      <w:r>
        <w:rPr>
          <w:rFonts w:hint="eastAsia"/>
          <w:color w:val="FF0000"/>
        </w:rPr>
        <w:t>・パッケージの機能強化実績と考え方、頻度について</w:t>
      </w:r>
    </w:p>
    <w:p w:rsidR="00945AC7" w:rsidRDefault="00945AC7">
      <w:pPr>
        <w:jc w:val="left"/>
        <w:rPr>
          <w:color w:val="FF0000"/>
        </w:rPr>
      </w:pPr>
    </w:p>
    <w:p w:rsidR="00945AC7" w:rsidRDefault="00F216FC" w:rsidP="00F216FC">
      <w:pPr>
        <w:ind w:left="1008" w:hangingChars="400" w:hanging="1008"/>
        <w:jc w:val="left"/>
      </w:pPr>
      <w:r>
        <w:rPr>
          <w:rFonts w:hint="eastAsia"/>
        </w:rPr>
        <w:t>４　障害発生時対応及び</w:t>
      </w:r>
      <w:r>
        <w:rPr>
          <w:rFonts w:hint="eastAsia"/>
        </w:rPr>
        <w:t>SLA</w:t>
      </w:r>
    </w:p>
    <w:p w:rsidR="00945AC7" w:rsidRDefault="00F216FC" w:rsidP="00F216FC">
      <w:pPr>
        <w:ind w:leftChars="100" w:left="252"/>
        <w:jc w:val="left"/>
        <w:rPr>
          <w:color w:val="FF0000"/>
        </w:rPr>
      </w:pPr>
      <w:r>
        <w:rPr>
          <w:rFonts w:hint="eastAsia"/>
          <w:color w:val="FF0000"/>
        </w:rPr>
        <w:t>※　以下の点に留意して記載すること。</w:t>
      </w:r>
    </w:p>
    <w:p w:rsidR="00945AC7" w:rsidRDefault="00F216FC">
      <w:pPr>
        <w:ind w:leftChars="200" w:left="756" w:hangingChars="100" w:hanging="252"/>
        <w:jc w:val="left"/>
        <w:rPr>
          <w:color w:val="FF0000"/>
        </w:rPr>
      </w:pPr>
      <w:r>
        <w:rPr>
          <w:rFonts w:hint="eastAsia"/>
          <w:color w:val="FF0000"/>
        </w:rPr>
        <w:t>・障害発生時の復旧体制について</w:t>
      </w:r>
    </w:p>
    <w:p w:rsidR="00945AC7" w:rsidRDefault="00F216FC">
      <w:pPr>
        <w:ind w:leftChars="200" w:left="756" w:hangingChars="100" w:hanging="252"/>
        <w:jc w:val="left"/>
        <w:rPr>
          <w:color w:val="FF0000"/>
        </w:rPr>
      </w:pPr>
      <w:r>
        <w:rPr>
          <w:rFonts w:hint="eastAsia"/>
          <w:color w:val="FF0000"/>
        </w:rPr>
        <w:t>・システム障害発生の検知から原因の分析、対応完了までのフロー及び復旧までに要する時間について</w:t>
      </w:r>
    </w:p>
    <w:p w:rsidR="00945AC7" w:rsidRDefault="00F216FC">
      <w:pPr>
        <w:ind w:leftChars="200" w:left="756" w:hangingChars="100" w:hanging="252"/>
        <w:rPr>
          <w:color w:val="FF0000"/>
        </w:rPr>
      </w:pPr>
      <w:r>
        <w:rPr>
          <w:rFonts w:hint="eastAsia"/>
          <w:color w:val="FF0000"/>
        </w:rPr>
        <w:t>・重要障害発生時補償等、</w:t>
      </w:r>
      <w:r>
        <w:rPr>
          <w:rFonts w:hint="eastAsia"/>
          <w:color w:val="FF0000"/>
        </w:rPr>
        <w:t>SLA</w:t>
      </w:r>
      <w:r>
        <w:rPr>
          <w:rFonts w:hint="eastAsia"/>
          <w:color w:val="FF0000"/>
        </w:rPr>
        <w:t>についての提案を「（様式２１別紙）」に記載すること。</w:t>
      </w:r>
    </w:p>
    <w:p w:rsidR="00945AC7" w:rsidRDefault="00F216FC">
      <w:pPr>
        <w:ind w:leftChars="300" w:left="756" w:firstLineChars="100" w:firstLine="252"/>
        <w:jc w:val="left"/>
        <w:rPr>
          <w:color w:val="FF0000"/>
        </w:rPr>
      </w:pPr>
      <w:r>
        <w:rPr>
          <w:rFonts w:hint="eastAsia"/>
          <w:color w:val="FF0000"/>
        </w:rPr>
        <w:t>なお、重要障害とはシステムに起因する以下のものとする（委託者の責めに帰すべき事由による場合を除く）。</w:t>
      </w:r>
    </w:p>
    <w:p w:rsidR="00945AC7" w:rsidRDefault="00F216FC">
      <w:pPr>
        <w:ind w:leftChars="400" w:left="1260" w:hangingChars="100" w:hanging="252"/>
        <w:jc w:val="left"/>
        <w:rPr>
          <w:color w:val="FF0000"/>
        </w:rPr>
      </w:pPr>
      <w:r>
        <w:rPr>
          <w:rFonts w:hint="eastAsia"/>
          <w:color w:val="FF0000"/>
        </w:rPr>
        <w:t>①オンラインが１時間以上停止した場合</w:t>
      </w:r>
    </w:p>
    <w:p w:rsidR="00945AC7" w:rsidRDefault="00F216FC">
      <w:pPr>
        <w:ind w:leftChars="400" w:left="1260" w:hangingChars="100" w:hanging="252"/>
        <w:jc w:val="left"/>
        <w:rPr>
          <w:color w:val="FF0000"/>
        </w:rPr>
      </w:pPr>
      <w:r>
        <w:rPr>
          <w:rFonts w:hint="eastAsia"/>
          <w:color w:val="FF0000"/>
        </w:rPr>
        <w:t>②本システムを用いた処理（照会・登録・修正など）を正確に処理できないなどの事象や、システムに起因するその他の事象により、市民や外部機関に損害を及ぼした場合（職員が</w:t>
      </w:r>
      <w:r>
        <w:rPr>
          <w:rFonts w:hint="eastAsia"/>
          <w:color w:val="FF0000"/>
        </w:rPr>
        <w:t>障害を未然に発見した場合で、かつ発見しなければ明らかに市民や外部機関に影響を及ぼした場合を含む）</w:t>
      </w:r>
    </w:p>
    <w:p w:rsidR="00945AC7" w:rsidRDefault="00945AC7" w:rsidP="00F216FC">
      <w:pPr>
        <w:ind w:left="1008" w:hangingChars="400" w:hanging="1008"/>
        <w:jc w:val="left"/>
      </w:pPr>
    </w:p>
    <w:p w:rsidR="00945AC7" w:rsidRDefault="00F216FC">
      <w:pPr>
        <w:jc w:val="left"/>
      </w:pPr>
      <w:r>
        <w:rPr>
          <w:rFonts w:hint="eastAsia"/>
        </w:rPr>
        <w:t>５　情報セキュリティに対する方針</w:t>
      </w:r>
    </w:p>
    <w:p w:rsidR="00945AC7" w:rsidRDefault="00F216FC">
      <w:pPr>
        <w:ind w:leftChars="100" w:left="252"/>
        <w:jc w:val="left"/>
        <w:rPr>
          <w:color w:val="FF0000"/>
        </w:rPr>
      </w:pPr>
      <w:r>
        <w:rPr>
          <w:rFonts w:hint="eastAsia"/>
          <w:color w:val="FF0000"/>
        </w:rPr>
        <w:t>※　以下の点に留意して記載すること。</w:t>
      </w:r>
    </w:p>
    <w:p w:rsidR="00945AC7" w:rsidRDefault="00F216FC">
      <w:pPr>
        <w:ind w:leftChars="200" w:left="756" w:hangingChars="100" w:hanging="252"/>
        <w:jc w:val="left"/>
        <w:rPr>
          <w:color w:val="FF0000"/>
        </w:rPr>
      </w:pPr>
      <w:r>
        <w:rPr>
          <w:rFonts w:hint="eastAsia"/>
          <w:color w:val="FF0000"/>
        </w:rPr>
        <w:t>・社内規定の有無と取り組み状況について</w:t>
      </w:r>
    </w:p>
    <w:p w:rsidR="00945AC7" w:rsidRDefault="00F216FC">
      <w:pPr>
        <w:ind w:leftChars="200" w:left="756" w:hangingChars="100" w:hanging="252"/>
        <w:jc w:val="left"/>
        <w:rPr>
          <w:color w:val="FF0000"/>
        </w:rPr>
      </w:pPr>
      <w:r>
        <w:rPr>
          <w:rFonts w:hint="eastAsia"/>
          <w:color w:val="FF0000"/>
        </w:rPr>
        <w:t>・データセンターのセキュリティについて</w:t>
      </w:r>
    </w:p>
    <w:p w:rsidR="00945AC7" w:rsidRDefault="00F216FC">
      <w:pPr>
        <w:ind w:leftChars="200" w:left="756" w:hangingChars="100" w:hanging="252"/>
        <w:jc w:val="left"/>
        <w:rPr>
          <w:color w:val="FF0000"/>
        </w:rPr>
      </w:pPr>
      <w:r>
        <w:rPr>
          <w:rFonts w:hint="eastAsia"/>
          <w:color w:val="FF0000"/>
        </w:rPr>
        <w:t>・サーバのセキュリティについて</w:t>
      </w:r>
    </w:p>
    <w:p w:rsidR="00945AC7" w:rsidRDefault="00F216FC">
      <w:pPr>
        <w:ind w:leftChars="200" w:left="756" w:hangingChars="100" w:hanging="252"/>
        <w:jc w:val="left"/>
        <w:rPr>
          <w:color w:val="FF0000"/>
        </w:rPr>
      </w:pPr>
      <w:r>
        <w:rPr>
          <w:rFonts w:hint="eastAsia"/>
          <w:color w:val="FF0000"/>
        </w:rPr>
        <w:t>・システムに施している技術的なセキュリティについて</w:t>
      </w:r>
    </w:p>
    <w:p w:rsidR="00945AC7" w:rsidRDefault="00F216FC">
      <w:pPr>
        <w:ind w:leftChars="200" w:left="756" w:hangingChars="100" w:hanging="252"/>
        <w:jc w:val="left"/>
        <w:rPr>
          <w:color w:val="FF0000"/>
        </w:rPr>
      </w:pPr>
      <w:r>
        <w:rPr>
          <w:rFonts w:hint="eastAsia"/>
          <w:color w:val="FF0000"/>
        </w:rPr>
        <w:t>・操作履歴のトレーサビリティについて</w:t>
      </w:r>
    </w:p>
    <w:p w:rsidR="00945AC7" w:rsidRDefault="00F216FC">
      <w:pPr>
        <w:ind w:leftChars="200" w:left="756" w:hangingChars="100" w:hanging="252"/>
        <w:jc w:val="left"/>
      </w:pPr>
      <w:r>
        <w:rPr>
          <w:rFonts w:hint="eastAsia"/>
          <w:color w:val="FF0000"/>
        </w:rPr>
        <w:t>・情報漏洩や改ざんへの対策について</w:t>
      </w:r>
    </w:p>
    <w:p w:rsidR="00945AC7" w:rsidRDefault="00F216FC">
      <w:pPr>
        <w:jc w:val="left"/>
      </w:pPr>
      <w:r>
        <w:rPr>
          <w:rFonts w:hint="eastAsia"/>
        </w:rPr>
        <w:lastRenderedPageBreak/>
        <w:t>６　本市が指定した稼働期間を遅延した場合の方針</w:t>
      </w:r>
    </w:p>
    <w:p w:rsidR="00945AC7" w:rsidRDefault="00F216FC">
      <w:pPr>
        <w:ind w:leftChars="100" w:left="252"/>
        <w:jc w:val="left"/>
        <w:rPr>
          <w:color w:val="FF0000"/>
        </w:rPr>
      </w:pPr>
      <w:r>
        <w:rPr>
          <w:rFonts w:hint="eastAsia"/>
          <w:color w:val="FF0000"/>
        </w:rPr>
        <w:t>※　以下の点に留意して記載すること。</w:t>
      </w:r>
    </w:p>
    <w:p w:rsidR="00945AC7" w:rsidRDefault="00F216FC">
      <w:pPr>
        <w:ind w:leftChars="200" w:left="756" w:hangingChars="100" w:hanging="252"/>
        <w:jc w:val="left"/>
        <w:rPr>
          <w:color w:val="FF0000"/>
        </w:rPr>
      </w:pPr>
      <w:r>
        <w:rPr>
          <w:rFonts w:hint="eastAsia"/>
          <w:color w:val="FF0000"/>
        </w:rPr>
        <w:t>・稼働が遅延した場合の、稼働できるまでの対策、保証及び市への損害補償等について</w:t>
      </w:r>
    </w:p>
    <w:p w:rsidR="00945AC7" w:rsidRDefault="00945AC7">
      <w:pPr>
        <w:jc w:val="left"/>
      </w:pPr>
    </w:p>
    <w:p w:rsidR="00945AC7" w:rsidRDefault="00F216FC">
      <w:pPr>
        <w:jc w:val="left"/>
      </w:pPr>
      <w:r>
        <w:rPr>
          <w:rFonts w:hint="eastAsia"/>
        </w:rPr>
        <w:t>７　その他の提案</w:t>
      </w:r>
    </w:p>
    <w:p w:rsidR="00945AC7" w:rsidRDefault="00F216FC">
      <w:pPr>
        <w:numPr>
          <w:ilvl w:val="0"/>
          <w:numId w:val="1"/>
        </w:numPr>
        <w:ind w:leftChars="100" w:left="504" w:hangingChars="100" w:hanging="252"/>
        <w:jc w:val="left"/>
        <w:rPr>
          <w:color w:val="FF0000"/>
        </w:rPr>
      </w:pPr>
      <w:r>
        <w:rPr>
          <w:rFonts w:hint="eastAsia"/>
          <w:color w:val="FF0000"/>
        </w:rPr>
        <w:t>その他、入札者のシステムを本市が利用することによるメリットがあれば記載すること。特に、本市担当者の負担軽減、本市のコスト削減、市民サービス向上及び本市住民情報システムとの確実な連携の観点から、メリットがあれば積極的に記載すること。</w:t>
      </w:r>
    </w:p>
    <w:p w:rsidR="00945AC7" w:rsidRDefault="00F216FC">
      <w:pPr>
        <w:numPr>
          <w:ilvl w:val="0"/>
          <w:numId w:val="1"/>
        </w:numPr>
        <w:ind w:leftChars="100" w:left="504" w:hangingChars="100" w:hanging="252"/>
        <w:jc w:val="left"/>
        <w:rPr>
          <w:color w:val="FF0000"/>
        </w:rPr>
      </w:pPr>
      <w:r>
        <w:rPr>
          <w:rFonts w:hint="eastAsia"/>
          <w:color w:val="FF0000"/>
        </w:rPr>
        <w:t>なお、本項目における提案内容は、Ａ４版で片面換算で用紙１０ページ以内にまとめること（その際、文字サイズは１２ポイント以上であることを基本とする）。</w:t>
      </w:r>
    </w:p>
    <w:sectPr w:rsidR="00945AC7" w:rsidSect="00945AC7">
      <w:footerReference w:type="default" r:id="rId7"/>
      <w:pgSz w:w="11906" w:h="16838"/>
      <w:pgMar w:top="1417" w:right="1417" w:bottom="1417" w:left="1417" w:header="851" w:footer="567" w:gutter="0"/>
      <w:pgNumType w:fmt="numberInDash"/>
      <w:cols w:space="720"/>
      <w:docGrid w:type="linesAndChars" w:linePitch="389" w:charSpace="2457"/>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AC7" w:rsidRDefault="00945AC7" w:rsidP="00945AC7">
      <w:r>
        <w:separator/>
      </w:r>
    </w:p>
  </w:endnote>
  <w:endnote w:type="continuationSeparator" w:id="0">
    <w:p w:rsidR="00945AC7" w:rsidRDefault="00945AC7" w:rsidP="00945AC7">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notTrueType/>
    <w:pitch w:val="variable"/>
    <w:sig w:usb0="00000000" w:usb1="00000000" w:usb2="00000000" w:usb3="00000000" w:csb0="01008200"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hint="eastAsia"/>
      </w:rPr>
      <w:alias w:val=""/>
      <w:tag w:val=""/>
      <w:id w:val="33688401"/>
      <w:docPartObj>
        <w:docPartGallery w:val="Page Numbers (Bottom of Page)"/>
        <w:docPartUnique/>
      </w:docPartObj>
    </w:sdtPr>
    <w:sdtContent>
      <w:p w:rsidR="00945AC7" w:rsidRDefault="00945AC7">
        <w:pPr>
          <w:jc w:val="center"/>
        </w:pPr>
        <w:r>
          <w:rPr>
            <w:rFonts w:hint="eastAsia"/>
          </w:rPr>
          <w:fldChar w:fldCharType="begin"/>
        </w:r>
        <w:r w:rsidR="00F216FC">
          <w:rPr>
            <w:rFonts w:hint="eastAsia"/>
          </w:rPr>
          <w:instrText>PAGE  \* MERGEFO</w:instrText>
        </w:r>
        <w:r w:rsidR="00F216FC">
          <w:rPr>
            <w:rFonts w:hint="eastAsia"/>
          </w:rPr>
          <w:instrText xml:space="preserve">RMAT </w:instrText>
        </w:r>
        <w:r>
          <w:rPr>
            <w:rFonts w:hint="eastAsia"/>
          </w:rPr>
          <w:fldChar w:fldCharType="separate"/>
        </w:r>
        <w:r w:rsidR="00F216FC" w:rsidRPr="00F216FC">
          <w:rPr>
            <w:rStyle w:val="a9"/>
            <w:noProof/>
          </w:rPr>
          <w:t>- 3 -</w:t>
        </w:r>
        <w:r>
          <w:rPr>
            <w:rFonts w:hint="eastAsia"/>
          </w:rPr>
          <w:fldChar w:fldCharType="end"/>
        </w:r>
      </w:p>
    </w:sdtContent>
  </w:sdt>
  <w:p w:rsidR="00945AC7" w:rsidRDefault="00945A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AC7" w:rsidRDefault="00945AC7" w:rsidP="00945AC7">
      <w:r>
        <w:separator/>
      </w:r>
    </w:p>
  </w:footnote>
  <w:footnote w:type="continuationSeparator" w:id="0">
    <w:p w:rsidR="00945AC7" w:rsidRDefault="00945AC7" w:rsidP="00945A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1D490D4"/>
    <w:lvl w:ilvl="0" w:tplc="00000000">
      <w:numFmt w:val="bullet"/>
      <w:lvlText w:val="※"/>
      <w:lvlJc w:val="left"/>
      <w:pPr>
        <w:tabs>
          <w:tab w:val="num" w:pos="780"/>
        </w:tabs>
        <w:ind w:left="780" w:hanging="360"/>
      </w:pPr>
      <w:rPr>
        <w:rFonts w:ascii="ＭＳ 明朝" w:eastAsia="ＭＳ 明朝" w:hAnsi="ＭＳ 明朝" w:hint="eastAsia"/>
      </w:rPr>
    </w:lvl>
    <w:lvl w:ilvl="1" w:tplc="00000000">
      <w:numFmt w:val="bullet"/>
      <w:lvlText w:val=""/>
      <w:lvlJc w:val="left"/>
      <w:pPr>
        <w:tabs>
          <w:tab w:val="num" w:pos="1260"/>
        </w:tabs>
        <w:ind w:left="1260" w:hanging="420"/>
      </w:pPr>
      <w:rPr>
        <w:rFonts w:ascii="Wingdings" w:hAnsi="Wingdings" w:hint="default"/>
      </w:rPr>
    </w:lvl>
    <w:lvl w:ilvl="2" w:tplc="00000000">
      <w:numFmt w:val="bullet"/>
      <w:lvlText w:val=""/>
      <w:lvlJc w:val="left"/>
      <w:pPr>
        <w:tabs>
          <w:tab w:val="num" w:pos="1680"/>
        </w:tabs>
        <w:ind w:left="1680" w:hanging="420"/>
      </w:pPr>
      <w:rPr>
        <w:rFonts w:ascii="Wingdings" w:hAnsi="Wingdings" w:hint="default"/>
      </w:rPr>
    </w:lvl>
    <w:lvl w:ilvl="3" w:tplc="00000000">
      <w:numFmt w:val="bullet"/>
      <w:lvlText w:val=""/>
      <w:lvlJc w:val="left"/>
      <w:pPr>
        <w:tabs>
          <w:tab w:val="num" w:pos="2100"/>
        </w:tabs>
        <w:ind w:left="2100" w:hanging="420"/>
      </w:pPr>
      <w:rPr>
        <w:rFonts w:ascii="Wingdings" w:hAnsi="Wingdings" w:hint="default"/>
      </w:rPr>
    </w:lvl>
    <w:lvl w:ilvl="4" w:tplc="00000000">
      <w:numFmt w:val="bullet"/>
      <w:lvlText w:val=""/>
      <w:lvlJc w:val="left"/>
      <w:pPr>
        <w:tabs>
          <w:tab w:val="num" w:pos="2520"/>
        </w:tabs>
        <w:ind w:left="2520" w:hanging="420"/>
      </w:pPr>
      <w:rPr>
        <w:rFonts w:ascii="Wingdings" w:hAnsi="Wingdings" w:hint="default"/>
      </w:rPr>
    </w:lvl>
    <w:lvl w:ilvl="5" w:tplc="00000000">
      <w:numFmt w:val="bullet"/>
      <w:lvlText w:val=""/>
      <w:lvlJc w:val="left"/>
      <w:pPr>
        <w:tabs>
          <w:tab w:val="num" w:pos="2940"/>
        </w:tabs>
        <w:ind w:left="2940" w:hanging="420"/>
      </w:pPr>
      <w:rPr>
        <w:rFonts w:ascii="Wingdings" w:hAnsi="Wingdings" w:hint="default"/>
      </w:rPr>
    </w:lvl>
    <w:lvl w:ilvl="6" w:tplc="00000000">
      <w:numFmt w:val="bullet"/>
      <w:lvlText w:val=""/>
      <w:lvlJc w:val="left"/>
      <w:pPr>
        <w:tabs>
          <w:tab w:val="num" w:pos="3360"/>
        </w:tabs>
        <w:ind w:left="3360" w:hanging="420"/>
      </w:pPr>
      <w:rPr>
        <w:rFonts w:ascii="Wingdings" w:hAnsi="Wingdings" w:hint="default"/>
      </w:rPr>
    </w:lvl>
    <w:lvl w:ilvl="7" w:tplc="00000000">
      <w:numFmt w:val="bullet"/>
      <w:lvlText w:val=""/>
      <w:lvlJc w:val="left"/>
      <w:pPr>
        <w:tabs>
          <w:tab w:val="num" w:pos="3780"/>
        </w:tabs>
        <w:ind w:left="3780" w:hanging="420"/>
      </w:pPr>
      <w:rPr>
        <w:rFonts w:ascii="Wingdings" w:hAnsi="Wingdings" w:hint="default"/>
      </w:rPr>
    </w:lvl>
    <w:lvl w:ilvl="8" w:tplc="00000000">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840"/>
  <w:drawingGridHorizontalSpacing w:val="251"/>
  <w:drawingGridVerticalSpacing w:val="194"/>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5AC7"/>
    <w:rsid w:val="00945AC7"/>
    <w:rsid w:val="00F216FC"/>
  </w:rsids>
  <m:mathPr>
    <m:mathFont m:val="Cambria Math"/>
    <m:brkBin m:val="before"/>
    <m:brkBinSub m:val="--"/>
    <m:smallFrac m:val="off"/>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G丸ｺﾞｼｯｸM-PRO" w:eastAsia="HG丸ｺﾞｼｯｸM-PRO" w:hAnsi="HG丸ｺﾞｼｯｸM-PRO"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AC7"/>
    <w:pPr>
      <w:widowControl w:val="0"/>
      <w:jc w:val="both"/>
    </w:pPr>
    <w:rPr>
      <w:rFonts w:ascii="ＭＳ ゴシック" w:eastAsia="ＭＳ ゴシック" w:hAnsi="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5AC7"/>
    <w:pPr>
      <w:tabs>
        <w:tab w:val="center" w:pos="4252"/>
        <w:tab w:val="right" w:pos="8504"/>
      </w:tabs>
      <w:snapToGrid w:val="0"/>
    </w:pPr>
  </w:style>
  <w:style w:type="character" w:customStyle="1" w:styleId="a4">
    <w:name w:val="ヘッダー (文字)"/>
    <w:basedOn w:val="a0"/>
    <w:link w:val="a3"/>
    <w:qFormat/>
    <w:rsid w:val="00945AC7"/>
  </w:style>
  <w:style w:type="paragraph" w:styleId="a5">
    <w:name w:val="footer"/>
    <w:basedOn w:val="a"/>
    <w:link w:val="a6"/>
    <w:rsid w:val="00945AC7"/>
    <w:pPr>
      <w:tabs>
        <w:tab w:val="center" w:pos="4252"/>
        <w:tab w:val="right" w:pos="8504"/>
      </w:tabs>
      <w:snapToGrid w:val="0"/>
    </w:pPr>
  </w:style>
  <w:style w:type="character" w:customStyle="1" w:styleId="a6">
    <w:name w:val="フッター (文字)"/>
    <w:basedOn w:val="a0"/>
    <w:link w:val="a5"/>
    <w:qFormat/>
    <w:rsid w:val="00945AC7"/>
  </w:style>
  <w:style w:type="character" w:styleId="a7">
    <w:name w:val="footnote reference"/>
    <w:basedOn w:val="a0"/>
    <w:semiHidden/>
    <w:rsid w:val="00945AC7"/>
    <w:rPr>
      <w:vertAlign w:val="superscript"/>
    </w:rPr>
  </w:style>
  <w:style w:type="character" w:styleId="a8">
    <w:name w:val="endnote reference"/>
    <w:basedOn w:val="a0"/>
    <w:semiHidden/>
    <w:rsid w:val="00945AC7"/>
    <w:rPr>
      <w:vertAlign w:val="superscript"/>
    </w:rPr>
  </w:style>
  <w:style w:type="character" w:styleId="a9">
    <w:name w:val="page number"/>
    <w:basedOn w:val="a0"/>
    <w:rsid w:val="00945A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1477</Words>
  <Characters>1485</Characters>
  <Application>Microsoft Office Word</Application>
  <DocSecurity>0</DocSecurity>
  <Lines>84</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箕面市役所</dc:creator>
  <cp:lastModifiedBy>箕面市役所</cp:lastModifiedBy>
  <cp:revision>29</cp:revision>
  <cp:lastPrinted>2016-04-19T05:43:00Z</cp:lastPrinted>
  <dcterms:created xsi:type="dcterms:W3CDTF">2013-07-17T10:21:00Z</dcterms:created>
  <dcterms:modified xsi:type="dcterms:W3CDTF">2016-05-02T06:59:00Z</dcterms:modified>
</cp:coreProperties>
</file>