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様式１－９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財務体質（流動比率の状況）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※小数点以下２桁目を四捨五入のこと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※令和２年４月１日から令和３年３月３１日事業年度の有価証券報告書の貸借対照表の数値を用いること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※決算月が３月以外の場合は、直近の確定した貸借対照表の数値を用いること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※連結親会社の場合は、連結財務諸表、連結子会社の場合は、単体の財務諸表の数値を用いること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※数値を引用した書類を添付のうえ、引用数値をマーカーで明示すること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5</Words>
  <Characters>222</Characters>
  <Application>JUST Note</Application>
  <Lines>33</Lines>
  <Paragraphs>17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尚子(手動)</cp:lastModifiedBy>
  <dcterms:created xsi:type="dcterms:W3CDTF">2020-03-04T05:54:00Z</dcterms:created>
  <dcterms:modified xsi:type="dcterms:W3CDTF">2021-07-28T00:29:37Z</dcterms:modified>
  <cp:revision>6</cp:revision>
</cp:coreProperties>
</file>