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令和４年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460"/>
        <w:gridCol w:w="1050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受託業務等経費内訳書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カ年の決算状況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43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43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特定提案に関する提案書①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特定提案に関する提案書③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※提案書の提出部数は、紙媒体として</w:t>
      </w:r>
      <w:r>
        <w:rPr>
          <w:rFonts w:hint="eastAsia" w:ascii="ＭＳ 明朝" w:hAnsi="ＭＳ 明朝" w:eastAsia="ＭＳ 明朝"/>
          <w:color w:val="auto"/>
          <w:sz w:val="20"/>
        </w:rPr>
        <w:t>６部（正本１部、副本５部）電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子媒体として１部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385" w:bottom="1353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7</Words>
  <Characters>606</Characters>
  <Application>JUST Note</Application>
  <Lines>570</Lines>
  <Paragraphs>82</Paragraphs>
  <Company>箕面市役所</Company>
  <CharactersWithSpaces>775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神吉　美穂(手動)</cp:lastModifiedBy>
  <cp:lastPrinted>2022-03-22T05:28:02Z</cp:lastPrinted>
  <dcterms:created xsi:type="dcterms:W3CDTF">2020-03-04T04:58:00Z</dcterms:created>
  <dcterms:modified xsi:type="dcterms:W3CDTF">2022-03-28T06:50:42Z</dcterms:modified>
  <cp:revision>6</cp:revision>
</cp:coreProperties>
</file>