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様式９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【提案書】有利子負債月商比率の状況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5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有利子負債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１月あたりの売上高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有利子負債月商比率</w:t>
            </w:r>
          </w:p>
          <w:p>
            <w:pPr>
              <w:pStyle w:val="0"/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※令和５年４月１日から令和６年３月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31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日事業年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※「有利子負債」は、短期借入金、コマーシャルペーパー、長期借入金、社債、転換社債、新株引受付社債、受取手形割引高の合計。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※「１月あたりの売上高」は売上高÷</w:t>
      </w:r>
      <w:r>
        <w:rPr>
          <w:rFonts w:hint="eastAsia" w:ascii="ＭＳ 明朝" w:hAnsi="ＭＳ 明朝" w:eastAsia="ＭＳ 明朝"/>
          <w:sz w:val="24"/>
          <w:u w:val="none" w:color="auto"/>
        </w:rPr>
        <w:t>12</w:t>
      </w:r>
      <w:r>
        <w:rPr>
          <w:rFonts w:hint="eastAsia" w:ascii="ＭＳ 明朝" w:hAnsi="ＭＳ 明朝" w:eastAsia="ＭＳ 明朝"/>
          <w:sz w:val="24"/>
          <w:u w:val="none" w:color="auto"/>
        </w:rPr>
        <w:t>ヶ月。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sz w:val="24"/>
          <w:u w:val="none" w:color="auto"/>
        </w:rPr>
        <w:t>NPO</w:t>
      </w:r>
      <w:r>
        <w:rPr>
          <w:rFonts w:hint="eastAsia" w:ascii="ＭＳ 明朝" w:hAnsi="ＭＳ 明朝" w:eastAsia="ＭＳ 明朝"/>
          <w:sz w:val="24"/>
          <w:u w:val="none" w:color="auto"/>
        </w:rPr>
        <w:t>法人等の公益法人については、「売上高」を「事業収益」に読み替えること。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上田　智佳(手動)</cp:lastModifiedBy>
  <dcterms:created xsi:type="dcterms:W3CDTF">2020-03-04T05:54:00Z</dcterms:created>
  <dcterms:modified xsi:type="dcterms:W3CDTF">2025-02-10T05:21:50Z</dcterms:modified>
  <cp:revision>1</cp:revision>
</cp:coreProperties>
</file>