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は平成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年度～令和４年度中</w:t>
      </w:r>
      <w:r>
        <w:rPr>
          <w:rFonts w:hint="eastAsia" w:ascii="ＭＳ 明朝" w:hAnsi="ＭＳ 明朝" w:eastAsia="ＭＳ 明朝"/>
          <w:sz w:val="24"/>
          <w:u w:val="none" w:color="auto"/>
        </w:rPr>
        <w:t>の受託実績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※「同種業務」とは、集合型で生活支援を含めた学習支援及び、子どもに関する相談業務とする。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※「同規模業務」とは、集合型の学習支援事業であり、定員２０名（１日当たり）を同規模とする。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※「類似業務」とは、派遣型の学習支援事業または学童保育及び、生活困窮等の子どもに限らない相談業務とする。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3</Words>
  <Characters>268</Characters>
  <Application>JUST Note</Application>
  <Lines>76</Lines>
  <Paragraphs>22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荒金　紀貴(手動)</cp:lastModifiedBy>
  <dcterms:created xsi:type="dcterms:W3CDTF">2020-03-04T05:54:00Z</dcterms:created>
  <dcterms:modified xsi:type="dcterms:W3CDTF">2024-02-16T02:14:11Z</dcterms:modified>
  <cp:revision>0</cp:revision>
</cp:coreProperties>
</file>