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様式８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財務体質（経常利益の状況）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令和４年度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3840" w:hanging="3840" w:hanging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※経常利益伸び率は、小数点以下２桁目を四捨五入のこと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※直近４事業年度分の有価証券報告書の損益計算書の数値を用いること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</w:rPr>
        <w:t>100</w:t>
      </w:r>
      <w:r>
        <w:rPr>
          <w:rFonts w:hint="eastAsia" w:ascii="ＭＳ 明朝" w:hAnsi="ＭＳ 明朝" w:eastAsia="ＭＳ 明朝"/>
          <w:sz w:val="24"/>
        </w:rPr>
        <w:t>で計算すること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※数値を引用した書類を添付のうえ、引用数値をマーカーで明示すること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14</Words>
  <Characters>272</Characters>
  <Application>JUST Note</Application>
  <Lines>51</Lines>
  <Paragraphs>21</Paragraphs>
  <Company>箕面市役所</Company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dcterms:created xsi:type="dcterms:W3CDTF">2020-03-04T05:54:00Z</dcterms:created>
  <dcterms:modified xsi:type="dcterms:W3CDTF">2023-09-22T06:43:04Z</dcterms:modified>
  <cp:revision>3</cp:revision>
</cp:coreProperties>
</file>