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0" w:beforeLines="0" w:beforeAutospacing="0" w:after="0" w:afterLines="0" w:afterAutospacing="0" w:line="240" w:lineRule="exact"/>
        <w:jc w:val="both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様式２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</w:t>
      </w:r>
      <w:r>
        <w:rPr>
          <w:rFonts w:hint="eastAsia" w:ascii="ＭＳ 明朝" w:hAnsi="ＭＳ 明朝" w:eastAsia="ＭＳ 明朝"/>
          <w:color w:val="FF0000"/>
          <w:sz w:val="24"/>
          <w:highlight w:val="none"/>
        </w:rPr>
        <w:t>　　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　　月　　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567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497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１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様式３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様式４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様式５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様式６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様式７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固定長期適合率の状況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様式８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有利子負債月商比率の状況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様式９</w:t>
            </w:r>
          </w:p>
        </w:tc>
        <w:tc>
          <w:tcPr>
            <w:tcW w:w="52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売上高経常利益率の状況</w:t>
            </w: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様式１０</w:t>
            </w:r>
          </w:p>
        </w:tc>
        <w:tc>
          <w:tcPr>
            <w:tcW w:w="52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様式１１</w:t>
            </w:r>
          </w:p>
        </w:tc>
        <w:tc>
          <w:tcPr>
            <w:tcW w:w="52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様式１２</w:t>
            </w:r>
          </w:p>
        </w:tc>
        <w:tc>
          <w:tcPr>
            <w:tcW w:w="52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様式１３</w:t>
            </w:r>
          </w:p>
        </w:tc>
        <w:tc>
          <w:tcPr>
            <w:tcW w:w="52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様式１４</w:t>
            </w:r>
          </w:p>
        </w:tc>
        <w:tc>
          <w:tcPr>
            <w:tcW w:w="52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様式１５</w:t>
            </w:r>
          </w:p>
        </w:tc>
        <w:tc>
          <w:tcPr>
            <w:tcW w:w="5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62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様式１６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品質マネジメントに関する取組状況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3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様式１７</w:t>
            </w:r>
          </w:p>
        </w:tc>
        <w:tc>
          <w:tcPr>
            <w:tcW w:w="5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苦情処理体制</w:t>
            </w: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</w:t>
            </w:r>
          </w:p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目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様式１８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育児・介護の休暇休業制度への取組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様式１９</w:t>
            </w:r>
          </w:p>
        </w:tc>
        <w:tc>
          <w:tcPr>
            <w:tcW w:w="5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女性の採用・職域拡大への取組</w:t>
            </w: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様式２０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地域活動への取組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様式２１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災害時等における業務体制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様式２２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契約（業務）期間終了後の引継ぎ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様式２３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個人情報保護に関する取組状況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様式２４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地域経済への波及効果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様式２５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72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様式２６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特定提案等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72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任意様式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その他参考資料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spacing w:line="240" w:lineRule="auto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spacing w:line="240" w:lineRule="auto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</w:rPr>
        <w:t>１０</w:t>
      </w:r>
      <w:r>
        <w:rPr>
          <w:rFonts w:hint="eastAsia" w:ascii="ＭＳ 明朝" w:hAnsi="ＭＳ 明朝" w:eastAsia="ＭＳ 明朝"/>
          <w:color w:val="auto"/>
          <w:sz w:val="20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</w:rPr>
        <w:t>部（正本１部、副本９部）</w:t>
      </w:r>
      <w:r>
        <w:rPr>
          <w:rFonts w:hint="eastAsia" w:ascii="ＭＳ 明朝" w:hAnsi="ＭＳ 明朝" w:eastAsia="ＭＳ 明朝"/>
          <w:sz w:val="20"/>
        </w:rPr>
        <w:t>とする。</w:t>
      </w:r>
    </w:p>
    <w:sectPr>
      <w:pgSz w:w="11906" w:h="16838"/>
      <w:pgMar w:top="1814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NSimSun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303</TotalTime>
  <Pages>1</Pages>
  <Words>4</Words>
  <Characters>673</Characters>
  <Application>JUST Note</Application>
  <Lines>757</Lines>
  <Paragraphs>101</Paragraphs>
  <Company>箕面市役所</Company>
  <CharactersWithSpaces>836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新木　みどり(手動)</cp:lastModifiedBy>
  <cp:lastPrinted>2025-01-07T03:50:12Z</cp:lastPrinted>
  <dcterms:created xsi:type="dcterms:W3CDTF">2020-03-04T04:58:00Z</dcterms:created>
  <dcterms:modified xsi:type="dcterms:W3CDTF">2025-04-24T04:15:38Z</dcterms:modified>
  <cp:revision>2</cp:revision>
</cp:coreProperties>
</file>