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中</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３（第三</w:t>
      </w:r>
      <w:bookmarkStart w:id="0" w:name="_GoBack"/>
      <w:bookmarkEnd w:id="0"/>
      <w:r>
        <w:rPr>
          <w:rFonts w:hint="eastAsia"/>
          <w:sz w:val="32"/>
          <w:highlight w:val="none"/>
          <w:u w:val="single" w:color="auto"/>
        </w:rPr>
        <w:t>中学校）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0</Words>
  <Characters>293</Characters>
  <Application>JUST Note</Application>
  <Lines>44</Lines>
  <Paragraphs>25</Paragraphs>
  <Company>箕面市役所</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2022-09-14T00:50:31Z</cp:lastPrinted>
  <dcterms:created xsi:type="dcterms:W3CDTF">2015-04-28T07:00:00Z</dcterms:created>
  <dcterms:modified xsi:type="dcterms:W3CDTF">2022-09-14T00:50:37Z</dcterms:modified>
  <cp:revision>23</cp:revision>
</cp:coreProperties>
</file>