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ゴシック" w:hAnsi="BIZ UDゴシック" w:eastAsia="BIZ UDゴシック"/>
          <w:sz w:val="24"/>
        </w:rPr>
      </w:pPr>
      <w:r>
        <w:rPr>
          <w:rFonts w:hint="eastAsia" w:ascii="BIZ UDゴシック" w:hAnsi="BIZ UDゴシック" w:eastAsia="BIZ UDゴシック"/>
          <w:b w:val="1"/>
          <w:sz w:val="24"/>
        </w:rPr>
        <w:t>様式</w:t>
      </w:r>
      <w:r>
        <w:rPr>
          <w:rFonts w:hint="eastAsia" w:ascii="BIZ UDゴシック" w:hAnsi="BIZ UDゴシック" w:eastAsia="BIZ UDゴシック"/>
          <w:b w:val="1"/>
          <w:color w:val="auto"/>
          <w:sz w:val="24"/>
        </w:rPr>
        <w:t>７</w:t>
      </w:r>
      <w:bookmarkStart w:id="0" w:name="_GoBack"/>
      <w:bookmarkEnd w:id="0"/>
    </w:p>
    <w:p>
      <w:pPr>
        <w:pStyle w:val="0"/>
        <w:jc w:val="center"/>
        <w:rPr>
          <w:rFonts w:hint="eastAsia" w:ascii="BIZ UDゴシック" w:hAnsi="BIZ UDゴシック" w:eastAsia="BIZ UDゴシック"/>
          <w:b w:val="1"/>
          <w:sz w:val="24"/>
        </w:rPr>
      </w:pPr>
      <w:r>
        <w:rPr>
          <w:rFonts w:hint="eastAsia" w:ascii="BIZ UDゴシック" w:hAnsi="BIZ UDゴシック" w:eastAsia="BIZ UDゴシック"/>
          <w:b w:val="1"/>
          <w:sz w:val="28"/>
        </w:rPr>
        <w:t>キャッシュフローの状況</w:t>
      </w:r>
    </w:p>
    <w:p>
      <w:pPr>
        <w:pStyle w:val="0"/>
        <w:jc w:val="center"/>
        <w:rPr>
          <w:rFonts w:hint="eastAsia" w:ascii="BIZ UDゴシック" w:hAnsi="BIZ UDゴシック" w:eastAsia="BIZ UDゴシック"/>
          <w:sz w:val="24"/>
        </w:rPr>
      </w:pPr>
    </w:p>
    <w:p>
      <w:pPr>
        <w:pStyle w:val="0"/>
        <w:jc w:val="center"/>
        <w:rPr>
          <w:rFonts w:hint="eastAsia" w:ascii="BIZ UDゴシック" w:hAnsi="BIZ UDゴシック" w:eastAsia="BIZ UDゴシック"/>
          <w:sz w:val="24"/>
          <w:u w:val="single" w:color="auto"/>
        </w:rPr>
      </w:pPr>
      <w:r>
        <w:rPr>
          <w:rFonts w:hint="eastAsia" w:ascii="BIZ UDゴシック" w:hAnsi="BIZ UDゴシック" w:eastAsia="BIZ UDゴシック"/>
          <w:sz w:val="24"/>
        </w:rPr>
        <w:t>　　　　　　　　　　　　　　　　　　</w:t>
      </w:r>
      <w:r>
        <w:rPr>
          <w:rFonts w:hint="eastAsia" w:ascii="BIZ UDゴシック" w:hAnsi="BIZ UDゴシック" w:eastAsia="BIZ UDゴシック"/>
          <w:sz w:val="24"/>
          <w:u w:val="single" w:color="auto"/>
        </w:rPr>
        <w:t>申込者名：</w:t>
      </w:r>
      <w:r>
        <w:rPr>
          <w:rFonts w:hint="eastAsia" w:ascii="BIZ UDゴシック" w:hAnsi="BIZ UDゴシック" w:eastAsia="BIZ UDゴシック"/>
          <w:sz w:val="24"/>
          <w:highlight w:val="none"/>
          <w:u w:val="single" w:color="auto"/>
          <w:shd w:val="clear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621" w:tblpY="345"/>
        <w:tblW w:w="0" w:type="auto"/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2730"/>
        <w:gridCol w:w="7350"/>
        <w:gridCol w:w="2520"/>
      </w:tblGrid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color w:val="auto"/>
                <w:sz w:val="24"/>
              </w:rPr>
              <w:t>令和６</w:t>
            </w:r>
            <w:r>
              <w:rPr>
                <w:rFonts w:hint="eastAsia" w:ascii="BIZ UDゴシック" w:hAnsi="BIZ UDゴシック" w:eastAsia="BIZ UDゴシック"/>
                <w:sz w:val="24"/>
              </w:rPr>
              <w:t>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sz w:val="24"/>
              </w:rPr>
              <w:t>営業活動による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sz w:val="24"/>
              </w:rPr>
              <w:t>キャッシュフロー</w:t>
            </w:r>
          </w:p>
        </w:tc>
        <w:tc>
          <w:tcPr>
            <w:tcW w:w="7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</w:p>
        </w:tc>
        <w:tc>
          <w:tcPr>
            <w:tcW w:w="2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4"/>
                <w:highlight w:val="none"/>
              </w:rPr>
            </w:pPr>
            <w:r>
              <w:rPr>
                <w:rFonts w:hint="eastAsia" w:ascii="BIZ UDゴシック" w:hAnsi="BIZ UDゴシック" w:eastAsia="BIZ UDゴシック"/>
                <w:sz w:val="24"/>
                <w:highlight w:val="none"/>
              </w:rPr>
              <w:t>円</w:t>
            </w:r>
          </w:p>
        </w:tc>
      </w:tr>
    </w:tbl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ind w:left="0" w:leftChars="0" w:right="-1128" w:rightChars="-537" w:firstLineChars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※令和６</w:t>
      </w:r>
      <w:r>
        <w:rPr>
          <w:rFonts w:hint="eastAsia" w:ascii="BIZ UDゴシック" w:hAnsi="BIZ UDゴシック" w:eastAsia="BIZ UDゴシック"/>
          <w:color w:val="auto"/>
          <w:sz w:val="24"/>
          <w:u w:val="none" w:color="auto"/>
        </w:rPr>
        <w:t>年４月１日から令和７年３月３１</w:t>
      </w:r>
      <w:r>
        <w:rPr>
          <w:rFonts w:hint="eastAsia" w:ascii="BIZ UDゴシック" w:hAnsi="BIZ UDゴシック" w:eastAsia="BIZ UDゴシック"/>
          <w:sz w:val="24"/>
          <w:u w:val="none" w:color="auto"/>
        </w:rPr>
        <w:t>日までの事業年度の有価証券報告書のキャッシュフロー計算書の数値を用いること。</w:t>
      </w:r>
    </w:p>
    <w:p>
      <w:pPr>
        <w:pStyle w:val="0"/>
        <w:ind w:left="0" w:leftChars="0" w:firstLine="0" w:firstLineChars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※決算月が３月以外の場合は、直近の確定した損益計算書の数値を用いること。</w:t>
      </w:r>
    </w:p>
    <w:p>
      <w:pPr>
        <w:pStyle w:val="0"/>
        <w:ind w:left="0" w:leftChars="0" w:firstLine="0" w:firstLineChars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※連結親会社の場合は、連結財務諸表を、連結子会社の場合は、単体の財務諸表の数値を用いること。</w:t>
      </w:r>
    </w:p>
    <w:p>
      <w:pPr>
        <w:pStyle w:val="0"/>
        <w:ind w:left="0" w:leftChars="0" w:firstLine="0" w:firstLineChars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※数値を引用した決算書を添付のうえ、引用数値をマーカーで明示すること。</w:t>
      </w:r>
    </w:p>
    <w:p>
      <w:pPr>
        <w:pStyle w:val="0"/>
        <w:ind w:left="0" w:leftChars="0" w:firstLine="0" w:firstLineChars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※上場企業であるか否かにかかわらず、キャッシュフロー計算書を作成していれば、その内容を評価する。</w:t>
      </w:r>
    </w:p>
    <w:p>
      <w:pPr>
        <w:pStyle w:val="0"/>
        <w:ind w:left="0" w:leftChars="0" w:firstLine="0" w:firstLineChars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※共同事業体での提案の場合、代表法人の数値を評価する。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83</TotalTime>
  <Pages>1</Pages>
  <Words>0</Words>
  <Characters>268</Characters>
  <Application>JUST Note</Application>
  <Lines>25</Lines>
  <Paragraphs>12</Paragraphs>
  <Company>箕面市役所</Company>
  <CharactersWithSpaces>302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尾崎　将也(手動)</cp:lastModifiedBy>
  <dcterms:created xsi:type="dcterms:W3CDTF">2020-03-04T05:54:00Z</dcterms:created>
  <dcterms:modified xsi:type="dcterms:W3CDTF">2025-08-19T11:30:54Z</dcterms:modified>
  <cp:revision>4</cp:revision>
</cp:coreProperties>
</file>