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b w:val="1"/>
          <w:color w:val="auto"/>
          <w:sz w:val="24"/>
        </w:rPr>
        <w:t>様式５</w:t>
      </w:r>
      <w:bookmarkStart w:id="0" w:name="_GoBack"/>
      <w:bookmarkEnd w:id="0"/>
    </w:p>
    <w:p>
      <w:pPr>
        <w:pStyle w:val="0"/>
        <w:rPr>
          <w:rFonts w:hint="eastAsia" w:ascii="BIZ UDゴシック" w:hAnsi="BIZ UDゴシック" w:eastAsia="BIZ UDゴシック"/>
          <w:sz w:val="24"/>
        </w:rPr>
      </w:pPr>
    </w:p>
    <w:p>
      <w:pPr>
        <w:pStyle w:val="0"/>
        <w:jc w:val="center"/>
        <w:rPr>
          <w:rFonts w:hint="eastAsia" w:ascii="BIZ UDゴシック" w:hAnsi="BIZ UDゴシック" w:eastAsia="BIZ UDゴシック"/>
          <w:b w:val="1"/>
          <w:sz w:val="24"/>
        </w:rPr>
      </w:pPr>
      <w:r>
        <w:rPr>
          <w:rFonts w:hint="eastAsia" w:ascii="BIZ UDゴシック" w:hAnsi="BIZ UDゴシック" w:eastAsia="BIZ UDゴシック"/>
          <w:b w:val="1"/>
          <w:sz w:val="28"/>
        </w:rPr>
        <w:t>流動比率の状況</w:t>
      </w: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</w:rPr>
      </w:pP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  <w:u w:val="single" w:color="auto"/>
        </w:rPr>
      </w:pPr>
      <w:r>
        <w:rPr>
          <w:rFonts w:hint="eastAsia" w:ascii="BIZ UDゴシック" w:hAnsi="BIZ UDゴシック" w:eastAsia="BIZ UDゴシック"/>
          <w:sz w:val="24"/>
        </w:rPr>
        <w:t>　　　　　　　　　　　　　　　　　　</w:t>
      </w:r>
      <w:r>
        <w:rPr>
          <w:rFonts w:hint="eastAsia" w:ascii="BIZ UDゴシック" w:hAnsi="BIZ UDゴシック" w:eastAsia="BIZ UDゴシック"/>
          <w:sz w:val="24"/>
          <w:u w:val="single" w:color="auto"/>
        </w:rPr>
        <w:t>申込者名：</w:t>
      </w:r>
      <w:r>
        <w:rPr>
          <w:rFonts w:hint="eastAsia" w:ascii="BIZ UDゴシック" w:hAnsi="BIZ UDゴシック" w:eastAsia="BIZ UDゴシック"/>
          <w:sz w:val="24"/>
          <w:highlight w:val="none"/>
          <w:u w:val="single" w:color="auto"/>
          <w:shd w:val="clear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>
          <w:trHeight w:val="567" w:hRule="atLeast"/>
        </w:trPr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A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流動資産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center"/>
          </w:tcPr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円</w:t>
            </w:r>
          </w:p>
        </w:tc>
      </w:tr>
      <w:tr>
        <w:trPr>
          <w:trHeight w:val="567" w:hRule="atLeast"/>
        </w:trPr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B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流動負債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center"/>
          </w:tcPr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円</w:t>
            </w:r>
          </w:p>
        </w:tc>
      </w:tr>
      <w:tr>
        <w:trPr>
          <w:trHeight w:val="567" w:hRule="atLeast"/>
        </w:trPr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C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流動比率（</w:t>
            </w:r>
            <w:r>
              <w:rPr>
                <w:rFonts w:hint="eastAsia" w:ascii="BIZ UDゴシック" w:hAnsi="BIZ UDゴシック" w:eastAsia="BIZ UDゴシック"/>
                <w:sz w:val="24"/>
              </w:rPr>
              <w:t>A</w:t>
            </w:r>
            <w:r>
              <w:rPr>
                <w:rFonts w:hint="eastAsia" w:ascii="BIZ UDゴシック" w:hAnsi="BIZ UDゴシック" w:eastAsia="BIZ UDゴシック"/>
                <w:sz w:val="24"/>
              </w:rPr>
              <w:t>÷</w:t>
            </w:r>
            <w:r>
              <w:rPr>
                <w:rFonts w:hint="eastAsia" w:ascii="BIZ UDゴシック" w:hAnsi="BIZ UDゴシック" w:eastAsia="BIZ UDゴシック"/>
                <w:sz w:val="24"/>
              </w:rPr>
              <w:t>B)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center"/>
          </w:tcPr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righ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BIZ UDゴシック" w:hAnsi="BIZ UDゴシック" w:eastAsia="BIZ UDゴシック"/>
          <w:sz w:val="24"/>
          <w:u w:val="none" w:color="auto"/>
        </w:rPr>
        <w:t>2</w:t>
      </w:r>
      <w:r>
        <w:rPr>
          <w:rFonts w:hint="eastAsia" w:ascii="BIZ UDゴシック" w:hAnsi="BIZ UDゴシック" w:eastAsia="BIZ UDゴシック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※令和６年４月１日から令和７年３月３１日事業年度の有価証券報告書の貸借対照表の数値を用いること。</w:t>
      </w: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※決算月が３月以外の場合は、直近の確定した貸借対照表の数値を用いること。</w:t>
      </w: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※数値を引用した書類を添付のうえ、引用数値をマーカーで明示すること。</w:t>
      </w: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※共同事業体の場合、代表法人の数値を評価する。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53</TotalTime>
  <Pages>1</Pages>
  <Words>6</Words>
  <Characters>241</Characters>
  <Application>JUST Note</Application>
  <Lines>33</Lines>
  <Paragraphs>18</Paragraphs>
  <Company>箕面市役所</Company>
  <CharactersWithSpaces>295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尾崎　将也(手動)</cp:lastModifiedBy>
  <dcterms:created xsi:type="dcterms:W3CDTF">2020-03-04T05:54:00Z</dcterms:created>
  <dcterms:modified xsi:type="dcterms:W3CDTF">2025-08-19T11:38:14Z</dcterms:modified>
  <cp:revision>4</cp:revision>
</cp:coreProperties>
</file>