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１１</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【提案書】事業者の同種・類似業務の実績（過去</w:t>
      </w:r>
      <w:r>
        <w:rPr>
          <w:rFonts w:hint="eastAsia" w:ascii="ＭＳ 明朝" w:hAnsi="ＭＳ 明朝" w:eastAsia="ＭＳ 明朝"/>
          <w:b w:val="1"/>
          <w:sz w:val="32"/>
        </w:rPr>
        <w:t>5</w:t>
      </w:r>
      <w:r>
        <w:rPr>
          <w:rFonts w:hint="eastAsia" w:ascii="ＭＳ 明朝" w:hAnsi="ＭＳ 明朝" w:eastAsia="ＭＳ 明朝"/>
          <w:b w:val="1"/>
          <w:sz w:val="32"/>
        </w:rPr>
        <w:t>年間）</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tbl>
      <w:tblPr>
        <w:tblStyle w:val="17"/>
        <w:tblpPr w:leftFromText="0" w:rightFromText="0" w:topFromText="0" w:bottomFromText="0" w:vertAnchor="text" w:horzAnchor="margin" w:tblpX="239" w:tblpY="15"/>
        <w:tblOverlap w:val="never"/>
        <w:tblW w:w="0" w:type="auto"/>
        <w:tblLayout w:type="fixed"/>
        <w:tblLook w:firstRow="1" w:lastRow="0" w:firstColumn="1" w:lastColumn="0" w:noHBand="0" w:noVBand="1" w:val="04A0"/>
      </w:tblPr>
      <w:tblGrid>
        <w:gridCol w:w="630"/>
        <w:gridCol w:w="2520"/>
        <w:gridCol w:w="2730"/>
        <w:gridCol w:w="3150"/>
        <w:gridCol w:w="3840"/>
      </w:tblGrid>
      <w:tr>
        <w:trPr>
          <w:trHeight w:val="360" w:hRule="atLeast"/>
        </w:trPr>
        <w:tc>
          <w:tcPr>
            <w:tcW w:w="630" w:type="dxa"/>
            <w:vMerge w:val="restart"/>
            <w:vAlign w:val="top"/>
          </w:tcPr>
          <w:p>
            <w:pPr>
              <w:pStyle w:val="0"/>
              <w:rPr>
                <w:rFonts w:hint="eastAsia"/>
              </w:rPr>
            </w:pPr>
          </w:p>
        </w:tc>
        <w:tc>
          <w:tcPr>
            <w:tcW w:w="1224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b w:val="1"/>
              </w:rPr>
            </w:pPr>
            <w:r>
              <w:rPr>
                <w:rFonts w:hint="eastAsia" w:ascii="ＭＳ 明朝" w:hAnsi="ＭＳ 明朝" w:eastAsia="ＭＳ 明朝"/>
                <w:b w:val="1"/>
                <w:sz w:val="24"/>
              </w:rPr>
              <w:t>同種・類似業務の実績</w:t>
            </w:r>
          </w:p>
        </w:tc>
      </w:tr>
      <w:tr>
        <w:trPr/>
        <w:tc>
          <w:tcPr>
            <w:tcW w:w="630" w:type="dxa"/>
            <w:vMerge w:val="continue"/>
            <w:vAlign w:val="top"/>
          </w:tcPr>
          <w:p>
            <w:pPr>
              <w:pStyle w:val="0"/>
              <w:rPr>
                <w:rFonts w:hint="eastAsia"/>
              </w:rPr>
            </w:pPr>
          </w:p>
        </w:tc>
        <w:tc>
          <w:tcPr>
            <w:tcW w:w="2520"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業務名</w:t>
            </w:r>
          </w:p>
        </w:tc>
        <w:tc>
          <w:tcPr>
            <w:tcW w:w="2730"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発注者</w:t>
            </w:r>
          </w:p>
        </w:tc>
        <w:tc>
          <w:tcPr>
            <w:tcW w:w="3150"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金額</w:t>
            </w:r>
          </w:p>
        </w:tc>
        <w:tc>
          <w:tcPr>
            <w:tcW w:w="3840" w:type="dxa"/>
            <w:vAlign w:val="top"/>
          </w:tcPr>
          <w:p>
            <w:pPr>
              <w:pStyle w:val="0"/>
              <w:jc w:val="center"/>
              <w:rPr>
                <w:rFonts w:hint="eastAsia"/>
                <w:b w:val="1"/>
              </w:rPr>
            </w:pPr>
            <w:r>
              <w:rPr>
                <w:rFonts w:hint="eastAsia" w:ascii="ＭＳ 明朝" w:hAnsi="ＭＳ 明朝" w:eastAsia="ＭＳ 明朝"/>
                <w:b w:val="1"/>
                <w:sz w:val="24"/>
              </w:rPr>
              <w:t>業務内容</w:t>
            </w:r>
          </w:p>
        </w:tc>
      </w:tr>
      <w:tr>
        <w:trPr/>
        <w:tc>
          <w:tcPr>
            <w:tcW w:w="630" w:type="dxa"/>
            <w:shd w:val="clear" w:color="auto" w:fill="FFFFBE"/>
            <w:vAlign w:val="top"/>
          </w:tcPr>
          <w:p>
            <w:pPr>
              <w:pStyle w:val="0"/>
              <w:jc w:val="center"/>
              <w:rPr>
                <w:rFonts w:hint="eastAsia"/>
              </w:rPr>
            </w:pPr>
            <w:r>
              <w:rPr>
                <w:rFonts w:hint="eastAsia"/>
              </w:rPr>
              <w:t>１</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２</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３</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４</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５</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６</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７</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８</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９</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10</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bl>
    <w:p>
      <w:pPr>
        <w:pStyle w:val="0"/>
        <w:jc w:val="left"/>
        <w:rPr>
          <w:rFonts w:hint="eastAsia" w:ascii="ＭＳ 明朝" w:hAnsi="ＭＳ 明朝" w:eastAsia="ＭＳ 明朝"/>
          <w:sz w:val="24"/>
          <w:u w:val="none" w:color="auto"/>
        </w:rPr>
      </w:pP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※同種・類似業務での受託実績（受注内容及び受注金額）を評価する。評価対象は平成３０年度中～令和４年度中の受託実績とする。</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※「同種業務」とは、デジタルサイネージの機器設置、システムの開発等の業務とする。</w:t>
      </w:r>
    </w:p>
    <w:p>
      <w:pPr>
        <w:pStyle w:val="0"/>
        <w:ind w:left="240" w:hanging="240" w:hangingChars="100"/>
        <w:rPr>
          <w:rFonts w:hint="eastAsia" w:ascii="ＭＳ 明朝" w:hAnsi="ＭＳ 明朝" w:eastAsia="ＭＳ 明朝"/>
          <w:sz w:val="24"/>
          <w:u w:val="none" w:color="auto"/>
        </w:rPr>
      </w:pPr>
      <w:r>
        <w:rPr>
          <w:rFonts w:hint="eastAsia" w:ascii="ＭＳ 明朝" w:hAnsi="ＭＳ 明朝" w:eastAsia="ＭＳ 明朝"/>
          <w:sz w:val="24"/>
          <w:u w:val="none" w:color="auto"/>
        </w:rPr>
        <w:t>※「同規模業務」とは、デジタルサイネージの機器設置、システムの開発等の業務内容かつ今回発注する業務と同程度の金額とする。</w:t>
      </w:r>
      <w:bookmarkStart w:id="0" w:name="_GoBack"/>
      <w:bookmarkEnd w:id="0"/>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※「類似業務」とは、デジタルサイネージの機器設置、システムの開発等の業務に類似すると判断できる業務とする。</w:t>
      </w:r>
    </w:p>
    <w:sectPr>
      <w:pgSz w:w="16838" w:h="11906" w:orient="landscape"/>
      <w:pgMar w:top="1417" w:right="1985" w:bottom="113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118</TotalTime>
  <Pages>1</Pages>
  <Words>2</Words>
  <Characters>281</Characters>
  <Application>JUST Note</Application>
  <Lines>80</Lines>
  <Paragraphs>22</Paragraphs>
  <Company>箕面市役所</Company>
  <CharactersWithSpaces>315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塩島　涼(手動)</cp:lastModifiedBy>
  <dcterms:created xsi:type="dcterms:W3CDTF">2020-03-04T05:54:00Z</dcterms:created>
  <dcterms:modified xsi:type="dcterms:W3CDTF">2023-08-14T02:10:20Z</dcterms:modified>
  <cp:revision>1</cp:revision>
</cp:coreProperties>
</file>