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18</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【提案書】休暇休業等の取得状況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１　育児休業又は介護休業を取得している男性従業員が総従業員数の</w:t>
      </w:r>
      <w:r>
        <w:rPr>
          <w:rFonts w:hint="eastAsia" w:ascii="ＭＳ 明朝" w:hAnsi="ＭＳ 明朝" w:eastAsia="ＭＳ 明朝"/>
          <w:color w:val="FF0000"/>
          <w:sz w:val="21"/>
          <w:highlight w:val="none"/>
          <w:u w:val="none" w:color="auto"/>
        </w:rPr>
        <w:t>○</w:t>
      </w:r>
      <w:r>
        <w:rPr>
          <w:rFonts w:hint="eastAsia" w:ascii="ＭＳ 明朝" w:hAnsi="ＭＳ 明朝" w:eastAsia="ＭＳ 明朝"/>
          <w:sz w:val="21"/>
          <w:highlight w:val="none"/>
          <w:u w:val="none" w:color="auto"/>
        </w:rPr>
        <w:t>％以上いません。</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育児休業又は介護休業等を取得している男性従業員が総従業員数の</w:t>
      </w:r>
      <w:r>
        <w:rPr>
          <w:rFonts w:hint="eastAsia" w:ascii="ＭＳ 明朝" w:hAnsi="ＭＳ 明朝" w:eastAsia="ＭＳ 明朝"/>
          <w:color w:val="FF0000"/>
          <w:sz w:val="21"/>
          <w:highlight w:val="none"/>
          <w:u w:val="none" w:color="auto"/>
        </w:rPr>
        <w:t>○</w:t>
      </w:r>
      <w:r>
        <w:rPr>
          <w:rFonts w:hint="eastAsia" w:ascii="ＭＳ 明朝" w:hAnsi="ＭＳ 明朝" w:eastAsia="ＭＳ 明朝"/>
          <w:sz w:val="21"/>
          <w:highlight w:val="none"/>
          <w:u w:val="none" w:color="auto"/>
        </w:rPr>
        <w:t>％以上であり、取得者は次のとおりです。</w:t>
      </w:r>
    </w:p>
    <w:tbl>
      <w:tblPr>
        <w:tblStyle w:val="17"/>
        <w:tblW w:w="0" w:type="auto"/>
        <w:tblInd w:w="0" w:type="dxa"/>
        <w:tblLayout w:type="fixed"/>
        <w:tblLook w:firstRow="1" w:lastRow="0" w:firstColumn="1" w:lastColumn="0" w:noHBand="0" w:noVBand="1" w:val="04A0"/>
      </w:tblPr>
      <w:tblGrid>
        <w:gridCol w:w="3775"/>
        <w:gridCol w:w="4993"/>
        <w:gridCol w:w="4384"/>
      </w:tblGrid>
      <w:tr>
        <w:trPr/>
        <w:tc>
          <w:tcPr>
            <w:tcW w:w="3775"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氏名</w:t>
            </w:r>
          </w:p>
        </w:tc>
        <w:tc>
          <w:tcPr>
            <w:tcW w:w="4993"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休業の種類</w:t>
            </w:r>
          </w:p>
        </w:tc>
        <w:tc>
          <w:tcPr>
            <w:tcW w:w="4384"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取得期間</w:t>
            </w: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w:t>
      </w:r>
      <w:r>
        <w:rPr>
          <w:rFonts w:hint="eastAsia" w:ascii="ＭＳ 明朝" w:hAnsi="ＭＳ 明朝" w:eastAsia="ＭＳ 明朝"/>
          <w:sz w:val="21"/>
          <w:u w:val="none" w:color="auto"/>
        </w:rPr>
        <w:t>1</w:t>
      </w:r>
      <w:r>
        <w:rPr>
          <w:rFonts w:hint="eastAsia" w:ascii="ＭＳ 明朝" w:hAnsi="ＭＳ 明朝" w:eastAsia="ＭＳ 明朝"/>
          <w:sz w:val="21"/>
          <w:u w:val="none" w:color="auto"/>
        </w:rPr>
        <w:t>又は</w:t>
      </w:r>
      <w:r>
        <w:rPr>
          <w:rFonts w:hint="eastAsia" w:ascii="ＭＳ 明朝" w:hAnsi="ＭＳ 明朝" w:eastAsia="ＭＳ 明朝"/>
          <w:sz w:val="21"/>
          <w:u w:val="none" w:color="auto"/>
        </w:rPr>
        <w:t>2</w:t>
      </w:r>
      <w:r>
        <w:rPr>
          <w:rFonts w:hint="eastAsia" w:ascii="ＭＳ 明朝" w:hAnsi="ＭＳ 明朝" w:eastAsia="ＭＳ 明朝"/>
          <w:sz w:val="21"/>
          <w:u w:val="none" w:color="auto"/>
        </w:rPr>
        <w:t>に○を付け、</w:t>
      </w:r>
      <w:r>
        <w:rPr>
          <w:rFonts w:hint="eastAsia" w:ascii="ＭＳ 明朝" w:hAnsi="ＭＳ 明朝" w:eastAsia="ＭＳ 明朝"/>
          <w:sz w:val="21"/>
          <w:u w:val="none" w:color="auto"/>
        </w:rPr>
        <w:t>2</w:t>
      </w:r>
      <w:r>
        <w:rPr>
          <w:rFonts w:hint="eastAsia" w:ascii="ＭＳ 明朝" w:hAnsi="ＭＳ 明朝" w:eastAsia="ＭＳ 明朝"/>
          <w:sz w:val="21"/>
          <w:u w:val="none" w:color="auto"/>
        </w:rPr>
        <w:t>に○を付けた場合は表に氏名等を記入すること。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※休業の種類は、育児休業又は介護休暇休業とする。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※取得の状況が分かる書類の写しを提出すること。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※取得者率（％）＝雇用者に占める取得者の割合</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※告示日以前（過去</w:t>
      </w:r>
      <w:r>
        <w:rPr>
          <w:rFonts w:hint="eastAsia" w:ascii="ＭＳ 明朝" w:hAnsi="ＭＳ 明朝" w:eastAsia="ＭＳ 明朝"/>
          <w:sz w:val="21"/>
          <w:u w:val="none" w:color="auto"/>
        </w:rPr>
        <w:t>3</w:t>
      </w:r>
      <w:r>
        <w:rPr>
          <w:rFonts w:hint="eastAsia" w:ascii="ＭＳ 明朝" w:hAnsi="ＭＳ 明朝" w:eastAsia="ＭＳ 明朝"/>
          <w:sz w:val="21"/>
          <w:u w:val="none" w:color="auto"/>
        </w:rPr>
        <w:t>年間）の取得者率を評価する。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TotalTime>
  <Pages>1</Pages>
  <Words>5</Words>
  <Characters>252</Characters>
  <Application>JUST Note</Application>
  <Lines>34</Lines>
  <Paragraphs>13</Paragraphs>
  <Company>箕面市役所</Company>
  <CharactersWithSpaces>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中西　雄太(手動)</cp:lastModifiedBy>
  <dcterms:created xsi:type="dcterms:W3CDTF">2020-03-04T05:54:00Z</dcterms:created>
  <dcterms:modified xsi:type="dcterms:W3CDTF">2025-03-25T00:15:58Z</dcterms:modified>
  <cp:revision>3</cp:revision>
</cp:coreProperties>
</file>