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000000" w:themeColor="text1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様式１０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000000" w:themeColor="text1"/>
          <w:sz w:val="32"/>
        </w:rPr>
      </w:pPr>
      <w:r>
        <w:rPr>
          <w:rFonts w:hint="eastAsia" w:ascii="ＭＳ 明朝" w:hAnsi="ＭＳ 明朝" w:eastAsia="ＭＳ 明朝"/>
          <w:b w:val="1"/>
          <w:color w:val="000000" w:themeColor="text1"/>
          <w:sz w:val="32"/>
        </w:rPr>
        <w:t>【提案書】事業者の同種・類似業務の実績（過去４年間）</w:t>
      </w:r>
    </w:p>
    <w:p>
      <w:pPr>
        <w:pStyle w:val="0"/>
        <w:jc w:val="center"/>
        <w:rPr>
          <w:rFonts w:hint="eastAsia" w:ascii="ＭＳ 明朝" w:hAnsi="ＭＳ 明朝" w:eastAsia="ＭＳ 明朝"/>
          <w:color w:val="000000" w:themeColor="text1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000000" w:themeColor="text1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000000" w:themeColor="text1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000000" w:themeColor="text1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tbl>
      <w:tblPr>
        <w:tblStyle w:val="17"/>
        <w:tblpPr w:leftFromText="0" w:rightFromText="0" w:topFromText="0" w:bottomFromText="0" w:vertAnchor="text" w:horzAnchor="margin" w:tblpX="239" w:tblpY="15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630"/>
        <w:gridCol w:w="2520"/>
        <w:gridCol w:w="2730"/>
        <w:gridCol w:w="3150"/>
        <w:gridCol w:w="3840"/>
      </w:tblGrid>
      <w:tr>
        <w:trPr>
          <w:trHeight w:val="360" w:hRule="atLeast"/>
        </w:trPr>
        <w:tc>
          <w:tcPr>
            <w:tcW w:w="630" w:type="dxa"/>
            <w:vMerge w:val="restart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1224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  <w:color w:val="000000" w:themeColor="text1"/>
              </w:rPr>
            </w:pPr>
            <w:r>
              <w:rPr>
                <w:rFonts w:hint="eastAsia" w:ascii="ＭＳ 明朝" w:hAnsi="ＭＳ 明朝" w:eastAsia="ＭＳ 明朝"/>
                <w:b w:val="1"/>
                <w:color w:val="000000" w:themeColor="text1"/>
                <w:sz w:val="24"/>
              </w:rPr>
              <w:t>同種・類似業務の実績</w:t>
            </w:r>
          </w:p>
        </w:tc>
      </w:tr>
      <w:tr>
        <w:trPr/>
        <w:tc>
          <w:tcPr>
            <w:tcW w:w="63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000000" w:themeColor="text1"/>
                <w:sz w:val="24"/>
              </w:rPr>
              <w:t>業務名</w:t>
            </w:r>
          </w:p>
        </w:tc>
        <w:tc>
          <w:tcPr>
            <w:tcW w:w="27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000000" w:themeColor="text1"/>
                <w:sz w:val="24"/>
              </w:rPr>
              <w:t>発注者</w:t>
            </w:r>
          </w:p>
        </w:tc>
        <w:tc>
          <w:tcPr>
            <w:tcW w:w="31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000000" w:themeColor="text1"/>
                <w:sz w:val="24"/>
              </w:rPr>
              <w:t>金額</w:t>
            </w:r>
          </w:p>
        </w:tc>
        <w:tc>
          <w:tcPr>
            <w:tcW w:w="3840" w:type="dxa"/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  <w:color w:val="000000" w:themeColor="text1"/>
              </w:rPr>
            </w:pPr>
            <w:r>
              <w:rPr>
                <w:rFonts w:hint="eastAsia" w:ascii="ＭＳ 明朝" w:hAnsi="ＭＳ 明朝" w:eastAsia="ＭＳ 明朝"/>
                <w:b w:val="1"/>
                <w:color w:val="000000" w:themeColor="text1"/>
                <w:sz w:val="24"/>
              </w:rPr>
              <w:t>業務内容</w:t>
            </w: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 w:themeColor="text1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９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ind w:leftChars="0" w:hanging="209" w:hangingChars="87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※同種・類似業務での受託実績（受注内容及び受注金額）を評価する。評価対象は令和２年度～令和５年度中の受託実績とする。</w:t>
      </w:r>
    </w:p>
    <w:p>
      <w:pPr>
        <w:pStyle w:val="0"/>
        <w:ind w:leftChars="0" w:hanging="209" w:hangingChars="87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※「同種業務」とは、令和３年基準年度固定資産（土地）の評価替えにかかる路線価付設業務とする。</w:t>
      </w:r>
    </w:p>
    <w:p>
      <w:pPr>
        <w:pStyle w:val="0"/>
        <w:ind w:leftChars="0" w:hanging="209" w:hangingChars="87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※「類似業務」とは、令和２年度から令和５年度における固定資産税にかかる標準宅地の鑑定評価業務、地価公示価格または地価調査価格の鑑定</w:t>
      </w: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評価業務とする。</w:t>
      </w:r>
    </w:p>
    <w:sectPr>
      <w:pgSz w:w="16838" w:h="11906" w:orient="landscape"/>
      <w:pgMar w:top="1701" w:right="1985" w:bottom="1417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110</TotalTime>
  <Pages>2</Pages>
  <Words>2</Words>
  <Characters>222</Characters>
  <Application>JUST Note</Application>
  <Lines>78</Lines>
  <Paragraphs>21</Paragraphs>
  <Company>箕面市役所</Company>
  <CharactersWithSpaces>256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小平　真緒(手動)</cp:lastModifiedBy>
  <dcterms:created xsi:type="dcterms:W3CDTF">2020-03-04T05:54:00Z</dcterms:created>
  <dcterms:modified xsi:type="dcterms:W3CDTF">2024-02-28T02:12:41Z</dcterms:modified>
  <cp:revision>2</cp:revision>
</cp:coreProperties>
</file>