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10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※「同種業務」とは、マイナンバーカードの交付や申請サポートに関する業務、またはマイナポイントに関する業務とする。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※「類似業務」とは、上記以外で業務委託仕様書</w:t>
      </w:r>
      <w:r>
        <w:rPr>
          <w:rFonts w:hint="eastAsia" w:ascii="ＭＳ 明朝" w:hAnsi="ＭＳ 明朝" w:eastAsia="ＭＳ 明朝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z w:val="24"/>
          <w:u w:val="none" w:color="auto"/>
        </w:rPr>
        <w:t>別紙</w:t>
      </w:r>
      <w:r>
        <w:rPr>
          <w:rFonts w:hint="eastAsia" w:ascii="ＭＳ 明朝" w:hAnsi="ＭＳ 明朝" w:eastAsia="ＭＳ 明朝"/>
          <w:sz w:val="24"/>
          <w:u w:val="none" w:color="auto"/>
        </w:rPr>
        <w:t>1)</w:t>
      </w:r>
      <w:r>
        <w:rPr>
          <w:rFonts w:hint="eastAsia" w:ascii="ＭＳ 明朝" w:hAnsi="ＭＳ 明朝" w:eastAsia="ＭＳ 明朝"/>
          <w:sz w:val="24"/>
          <w:u w:val="none" w:color="auto"/>
        </w:rPr>
        <w:t>記載の業務内容に類すると判断できる業務とする。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※｢専門知識」は、「マイナンバー管理士」または「マイナンバー実務主任者」の資格の有無を評価する。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※業務履行上の現場責任者、主任者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1</Pages>
  <Words>3</Words>
  <Characters>433</Characters>
  <Application>JUST Note</Application>
  <Lines>120</Lines>
  <Paragraphs>48</Paragraphs>
  <Company>箕面市役所</Company>
  <CharactersWithSpaces>468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2023-03-29T02:17:17Z</dcterms:modified>
  <cp:revision>1</cp:revision>
</cp:coreProperties>
</file>