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737" w:firstLineChars="3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様式２６</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color w:val="auto"/>
                <w:sz w:val="24"/>
                <w:u w:val="none"/>
              </w:rPr>
              <w:t>※建設共同企業体を構成している場合は、構成員それぞれの分を提出すること。</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2</Pages>
  <Words>0</Words>
  <Characters>520</Characters>
  <Application>JUST Note</Application>
  <Lines>371</Lines>
  <Paragraphs>35</Paragraphs>
  <Company>財政局財政部用度課</Company>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木村　沙織(手動)</cp:lastModifiedBy>
  <cp:lastPrinted>2023-02-22T00:24:00Z</cp:lastPrinted>
  <dcterms:created xsi:type="dcterms:W3CDTF">2012-03-09T01:38:00Z</dcterms:created>
  <dcterms:modified xsi:type="dcterms:W3CDTF">2023-04-14T04:26:48Z</dcterms:modified>
  <cp:revision>74</cp:revision>
</cp:coreProperties>
</file>