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【提案書】特定提案等⑥（開業祝賀イベントの広報・周知活動）</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【評価項目】</w:t>
      </w:r>
    </w:p>
    <w:p>
      <w:pPr>
        <w:pStyle w:val="0"/>
        <w:ind w:left="420" w:hanging="420" w:hangingChars="20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　・以下の点を踏まえた提案となっているか。</w:t>
      </w:r>
    </w:p>
    <w:p>
      <w:pPr>
        <w:pStyle w:val="17"/>
        <w:numPr>
          <w:ilvl w:val="0"/>
          <w:numId w:val="1"/>
        </w:numPr>
        <w:tabs>
          <w:tab w:val="clear" w:pos="840"/>
          <w:tab w:val="clear" w:pos="1050"/>
          <w:tab w:val="left" w:leader="none" w:pos="630"/>
        </w:tabs>
        <w:ind w:left="420" w:leftChars="0" w:firstLine="0" w:firstLineChars="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市民に対し、効果的かつわかりやすく、広く周知するための広報手法</w:t>
      </w:r>
    </w:p>
    <w:p>
      <w:pPr>
        <w:pStyle w:val="17"/>
        <w:numPr>
          <w:ilvl w:val="0"/>
          <w:numId w:val="1"/>
        </w:numPr>
        <w:tabs>
          <w:tab w:val="clear" w:pos="840"/>
          <w:tab w:val="clear" w:pos="1050"/>
          <w:tab w:val="left" w:leader="none" w:pos="630"/>
        </w:tabs>
        <w:ind w:left="420" w:leftChars="0" w:firstLine="0" w:firstLineChars="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イベント開催及び鉄道開業への高揚感を高めるために効果的な広報手法や創意工夫</w:t>
      </w:r>
    </w:p>
    <w:p>
      <w:pPr>
        <w:pStyle w:val="17"/>
        <w:numPr>
          <w:ilvl w:val="0"/>
          <w:numId w:val="1"/>
        </w:numPr>
        <w:tabs>
          <w:tab w:val="clear" w:pos="840"/>
          <w:tab w:val="clear" w:pos="1050"/>
          <w:tab w:val="left" w:leader="none" w:pos="630"/>
        </w:tabs>
        <w:ind w:left="420" w:leftChars="0" w:firstLine="0" w:firstLineChars="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市民や関係団体等のイベントへの参加意欲、来場意欲を高めるための周知手法</w:t>
      </w:r>
    </w:p>
    <w:p>
      <w:pPr>
        <w:pStyle w:val="17"/>
        <w:numPr>
          <w:ilvl w:val="0"/>
          <w:numId w:val="1"/>
        </w:numPr>
        <w:tabs>
          <w:tab w:val="clear" w:pos="840"/>
          <w:tab w:val="clear" w:pos="1050"/>
          <w:tab w:val="left" w:leader="none" w:pos="630"/>
        </w:tabs>
        <w:ind w:left="420" w:leftChars="0" w:firstLine="0" w:firstLineChars="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専用ホームページ作成やＳＮＳ</w:t>
      </w:r>
      <w:bookmarkStart w:id="0" w:name="_GoBack"/>
      <w:bookmarkEnd w:id="0"/>
      <w:r>
        <w:rPr>
          <w:rFonts w:hint="eastAsia" w:ascii="ＭＳ 明朝" w:hAnsi="ＭＳ 明朝" w:eastAsia="ＭＳ 明朝"/>
          <w:b w:val="0"/>
          <w:sz w:val="21"/>
          <w:u w:val="none" w:color="auto"/>
        </w:rPr>
        <w:t>等を利用して告知を行うなど、効率的に周知するための広報手法や創意工夫</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8"/>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ADC8D8"/>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Pages>
  <Words>0</Words>
  <Characters>265</Characters>
  <Application>JUST Note</Application>
  <Lines>12</Lines>
  <Paragraphs>9</Paragraphs>
  <Company>箕面市役所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cp:lastPrinted>2023-05-24T23:40:14Z</cp:lastPrinted>
  <dcterms:created xsi:type="dcterms:W3CDTF">2020-03-04T05:54:00Z</dcterms:created>
  <dcterms:modified xsi:type="dcterms:W3CDTF">2023-05-24T23:45:44Z</dcterms:modified>
  <cp:revision>11</cp:revision>
</cp:coreProperties>
</file>