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g">
            <w:drawing>
              <wp:anchor simplePos="0" relativeHeight="2" behindDoc="0" locked="0" layoutInCell="1" hidden="0" allowOverlap="1">
                <wp:simplePos x="0" y="0"/>
                <wp:positionH relativeFrom="column">
                  <wp:posOffset>0</wp:posOffset>
                </wp:positionH>
                <wp:positionV relativeFrom="paragraph">
                  <wp:posOffset>25400</wp:posOffset>
                </wp:positionV>
                <wp:extent cx="5840730" cy="1352550"/>
                <wp:effectExtent l="0" t="0" r="635" b="0"/>
                <wp:wrapNone/>
                <wp:docPr id="1026" name="オブジェクト 0"/>
                <a:graphic xmlns:a="http://schemas.openxmlformats.org/drawingml/2006/main">
                  <a:graphicData uri="http://schemas.microsoft.com/office/word/2010/wordprocessingGroup">
                    <wpg:wgp>
                      <wpg:cNvGrpSpPr/>
                      <wpg:grpSpPr>
                        <a:xfrm>
                          <a:off x="0" y="0"/>
                          <a:ext cx="5840730" cy="1352550"/>
                          <a:chOff x="1126" y="1701"/>
                          <a:chExt cx="9198" cy="2130"/>
                        </a:xfrm>
                      </wpg:grpSpPr>
                      <wps:wsp>
                        <wps:cNvPr id="1027" name="オブジェクト 0"/>
                        <wps:cNvSpPr txBox="1"/>
                        <wps:spPr>
                          <a:xfrm>
                            <a:off x="2640" y="2429"/>
                            <a:ext cx="7684" cy="5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M" w:hAnsi="AR P丸ゴシック体M" w:eastAsia="AR P丸ゴシック体M"/>
                                  <w:sz w:val="28"/>
                                </w:rPr>
                                <w:t>誰も自殺に追い込まれることのない社会の実現を目指して</w:t>
                              </w:r>
                            </w:p>
                          </w:txbxContent>
                        </wps:txbx>
                        <wps:bodyPr vertOverflow="overflow" horzOverflow="overflow" wrap="square" lIns="74295" tIns="8890" rIns="74295" bIns="8890"/>
                      </wps:wsp>
                      <pic:pic xmlns:pic="http://schemas.openxmlformats.org/drawingml/2006/picture">
                        <pic:nvPicPr>
                          <pic:cNvPr id="1028" name="オブジェクト 0"/>
                          <pic:cNvPicPr>
                            <a:picLocks noChangeAspect="1"/>
                          </pic:cNvPicPr>
                        </pic:nvPicPr>
                        <pic:blipFill>
                          <a:blip r:embed="rId5"/>
                          <a:srcRect l="20021" r="21898"/>
                          <a:stretch>
                            <a:fillRect/>
                          </a:stretch>
                        </pic:blipFill>
                        <pic:spPr>
                          <a:xfrm>
                            <a:off x="1126" y="1701"/>
                            <a:ext cx="1649" cy="2130"/>
                          </a:xfrm>
                          <a:prstGeom prst="rect">
                            <a:avLst/>
                          </a:prstGeom>
                        </pic:spPr>
                      </pic:pic>
                    </wpg:wgp>
                  </a:graphicData>
                </a:graphic>
              </wp:anchor>
            </w:drawing>
          </mc:Choice>
          <mc:Fallback>
            <w:pict>
              <v:group id="オブジェクト 0" style="margin-top:2pt;mso-position-vertical-relative:text;mso-position-horizontal-relative:text;position:absolute;height:106.5pt;width:459.9pt;margin-left:0pt;z-index:2;" coordsize="9198,2130" coordorigin="1126,1701" o:spid="_x0000_s1026" o:allowincell="t" o:allowoverlap="t">
                <v:shapetype id="_x0000_t202" coordsize="21600,21600" o:spt="202" path="m,l,21600r21600,l21600,xe">
                  <v:stroke joinstyle="miter"/>
                  <v:path gradientshapeok="t" o:connecttype="rect"/>
                </v:shapetype>
                <v:shape id="オブジェクト 0" style="height:550;width:7684;top:2429;left:2640;position:absolute;" o:spid="_x0000_s1027"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丸ゴシック体M" w:hAnsi="AR P丸ゴシック体M" w:eastAsia="AR P丸ゴシック体M"/>
                            <w:sz w:val="28"/>
                          </w:rPr>
                          <w:t>誰も自殺に追い込まれることのない社会の実現を目指して</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130;width:1649;top:1701;left:1126;position:absolute;" o:spid="_x0000_s1028" filled="f" stroked="f" o:spt="75" type="#_x0000_t75">
                  <v:fill/>
                  <v:imagedata cropleft="13121f" cropright="14351f" o:title="" r:id="rId5"/>
                  <w10:wrap type="none" anchorx="text" anchory="text"/>
                </v:shape>
                <w10:wrap type="none" anchorx="text" anchory="text"/>
              </v:group>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ascii="AR P丸ゴシック体E" w:hAnsi="AR P丸ゴシック体E" w:eastAsia="AR P丸ゴシック体E"/>
          <w:sz w:val="56"/>
        </w:rPr>
      </w:pPr>
      <w:r>
        <w:rPr>
          <w:rFonts w:hint="eastAsia" w:ascii="AR P丸ゴシック体E" w:hAnsi="AR P丸ゴシック体E" w:eastAsia="AR P丸ゴシック体E"/>
          <w:sz w:val="52"/>
        </w:rPr>
        <w:t>第１期箕面市自殺対策推進計画</w:t>
      </w:r>
    </w:p>
    <w:p>
      <w:pPr>
        <w:pStyle w:val="0"/>
        <w:jc w:val="center"/>
        <w:rPr>
          <w:rFonts w:hint="eastAsia" w:ascii="AR P丸ゴシック体E" w:hAnsi="AR P丸ゴシック体E" w:eastAsia="AR P丸ゴシック体E"/>
          <w:sz w:val="56"/>
        </w:rPr>
      </w:pPr>
      <w:r>
        <w:rPr>
          <w:rFonts w:hint="eastAsia" w:ascii="AR P丸ゴシック体E" w:hAnsi="AR P丸ゴシック体E" w:eastAsia="AR P丸ゴシック体E"/>
          <w:sz w:val="40"/>
        </w:rPr>
        <w:t>【令和３年改定版】</w:t>
      </w:r>
    </w:p>
    <w:p>
      <w:pPr>
        <w:pStyle w:val="0"/>
        <w:jc w:val="center"/>
        <w:rPr>
          <w:rFonts w:hint="eastAsia" w:ascii="AR P丸ゴシック体E" w:hAnsi="AR P丸ゴシック体E" w:eastAsia="AR P丸ゴシック体E"/>
          <w:sz w:val="56"/>
        </w:rPr>
      </w:pPr>
      <w:r>
        <w:rPr>
          <w:rFonts w:hint="eastAsia" w:ascii="AR P丸ゴシック体E" w:hAnsi="AR P丸ゴシック体E" w:eastAsia="AR P丸ゴシック体E"/>
          <w:sz w:val="36"/>
        </w:rPr>
        <w:t>計画期間</w:t>
      </w:r>
    </w:p>
    <w:p>
      <w:pPr>
        <w:pStyle w:val="0"/>
        <w:jc w:val="center"/>
        <w:rPr>
          <w:rFonts w:hint="eastAsia"/>
        </w:rPr>
      </w:pPr>
      <w:r>
        <w:rPr>
          <w:rFonts w:hint="eastAsia" w:ascii="AR P丸ゴシック体E" w:hAnsi="AR P丸ゴシック体E" w:eastAsia="AR P丸ゴシック体E"/>
          <w:sz w:val="36"/>
        </w:rPr>
        <w:t>平成３１年（２０</w:t>
      </w:r>
      <w:r>
        <w:rPr>
          <w:rFonts w:hint="eastAsia" w:ascii="AR P丸ゴシック体E" w:hAnsi="AR P丸ゴシック体E" w:eastAsia="AR P丸ゴシック体E"/>
          <w:sz w:val="36"/>
        </w:rPr>
        <w:t>19</w:t>
      </w:r>
      <w:r>
        <w:rPr>
          <w:rFonts w:hint="eastAsia" w:ascii="AR P丸ゴシック体E" w:hAnsi="AR P丸ゴシック体E" w:eastAsia="AR P丸ゴシック体E"/>
          <w:sz w:val="36"/>
        </w:rPr>
        <w:t>年）</w:t>
      </w:r>
      <w:r>
        <w:rPr>
          <w:rFonts w:hint="eastAsia" w:ascii="AR P丸ゴシック体E" w:hAnsi="AR P丸ゴシック体E" w:eastAsia="AR P丸ゴシック体E"/>
          <w:sz w:val="36"/>
        </w:rPr>
        <w:t>4</w:t>
      </w:r>
      <w:r>
        <w:rPr>
          <w:rFonts w:hint="eastAsia" w:ascii="AR P丸ゴシック体E" w:hAnsi="AR P丸ゴシック体E" w:eastAsia="AR P丸ゴシック体E"/>
          <w:sz w:val="36"/>
        </w:rPr>
        <w:t>月～令和６年（</w:t>
      </w:r>
      <w:r>
        <w:rPr>
          <w:rFonts w:hint="eastAsia" w:ascii="AR P丸ゴシック体E" w:hAnsi="AR P丸ゴシック体E" w:eastAsia="AR P丸ゴシック体E"/>
          <w:sz w:val="36"/>
        </w:rPr>
        <w:t>202</w:t>
      </w:r>
      <w:r>
        <w:rPr>
          <w:rFonts w:hint="eastAsia" w:ascii="AR P丸ゴシック体E" w:hAnsi="AR P丸ゴシック体E" w:eastAsia="AR P丸ゴシック体E"/>
          <w:sz w:val="36"/>
        </w:rPr>
        <w:t>４年）</w:t>
      </w:r>
      <w:r>
        <w:rPr>
          <w:rFonts w:hint="eastAsia" w:ascii="AR P丸ゴシック体E" w:hAnsi="AR P丸ゴシック体E" w:eastAsia="AR P丸ゴシック体E"/>
          <w:sz w:val="36"/>
        </w:rPr>
        <w:t>3</w:t>
      </w:r>
      <w:r>
        <w:rPr>
          <w:rFonts w:hint="eastAsia" w:ascii="AR P丸ゴシック体E" w:hAnsi="AR P丸ゴシック体E" w:eastAsia="AR P丸ゴシック体E"/>
          <w:sz w:val="36"/>
        </w:rPr>
        <w:t>月</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1211580</wp:posOffset>
                </wp:positionH>
                <wp:positionV relativeFrom="paragraph">
                  <wp:posOffset>36830</wp:posOffset>
                </wp:positionV>
                <wp:extent cx="3420110" cy="128397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420110" cy="12839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ＤＦ平成ゴシック体W5" w:hAnsi="ＤＦ平成ゴシック体W5" w:eastAsia="ＤＦ平成ゴシック体W5"/>
                                <w:sz w:val="144"/>
                              </w:rPr>
                            </w:pPr>
                            <w:r>
                              <w:rPr>
                                <w:rFonts w:hint="eastAsia" w:ascii="ＤＦ平成ゴシック体W5" w:hAnsi="ＤＦ平成ゴシック体W5" w:eastAsia="ＤＦ平成ゴシック体W5"/>
                                <w:sz w:val="96"/>
                              </w:rPr>
                              <w:t>（素案）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pt;mso-position-vertical-relative:text;mso-position-horizontal-relative:text;position:absolute;height:101.1pt;mso-wrap-distance-top:0pt;width:269.3pt;mso-wrap-distance-left:5.65pt;margin-left:95.4pt;z-index:2;"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ＤＦ平成ゴシック体W5" w:hAnsi="ＤＦ平成ゴシック体W5" w:eastAsia="ＤＦ平成ゴシック体W5"/>
                          <w:sz w:val="144"/>
                        </w:rPr>
                      </w:pPr>
                      <w:r>
                        <w:rPr>
                          <w:rFonts w:hint="eastAsia" w:ascii="ＤＦ平成ゴシック体W5" w:hAnsi="ＤＦ平成ゴシック体W5" w:eastAsia="ＤＦ平成ゴシック体W5"/>
                          <w:sz w:val="96"/>
                        </w:rPr>
                        <w:t>（素案）</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ascii="HG丸ｺﾞｼｯｸM-PRO" w:hAnsi="HG丸ｺﾞｼｯｸM-PRO" w:eastAsia="HG丸ｺﾞｼｯｸM-PRO"/>
          <w:sz w:val="32"/>
        </w:rPr>
      </w:pPr>
      <w:r>
        <w:rPr>
          <w:rFonts w:hint="eastAsia" w:ascii="HG丸ｺﾞｼｯｸM-PRO" w:hAnsi="HG丸ｺﾞｼｯｸM-PRO" w:eastAsia="HG丸ｺﾞｼｯｸM-PRO"/>
          <w:sz w:val="32"/>
        </w:rPr>
        <w:t>令和４年（</w:t>
      </w:r>
      <w:r>
        <w:rPr>
          <w:rFonts w:hint="eastAsia" w:ascii="HG丸ｺﾞｼｯｸM-PRO" w:hAnsi="HG丸ｺﾞｼｯｸM-PRO" w:eastAsia="HG丸ｺﾞｼｯｸM-PRO"/>
          <w:sz w:val="32"/>
        </w:rPr>
        <w:t>2022</w:t>
      </w:r>
      <w:r>
        <w:rPr>
          <w:rFonts w:hint="eastAsia" w:ascii="HG丸ｺﾞｼｯｸM-PRO" w:hAnsi="HG丸ｺﾞｼｯｸM-PRO" w:eastAsia="HG丸ｺﾞｼｯｸM-PRO"/>
          <w:sz w:val="32"/>
        </w:rPr>
        <w:t>年）　月　日</w:t>
      </w:r>
    </w:p>
    <w:p>
      <w:pPr>
        <w:pStyle w:val="0"/>
        <w:jc w:val="center"/>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3128645</wp:posOffset>
                </wp:positionH>
                <wp:positionV relativeFrom="paragraph">
                  <wp:posOffset>441960</wp:posOffset>
                </wp:positionV>
                <wp:extent cx="1186815" cy="21907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1186815" cy="219075"/>
                        </a:xfrm>
                        <a:prstGeom prst="rect">
                          <a:avLst/>
                        </a:prstGeom>
                        <a:solidFill>
                          <a:srgbClr val="FFFFFF"/>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4.79pt;mso-position-vertical-relative:text;mso-position-horizontal-relative:text;position:absolute;height:17.25pt;mso-wrap-distance-top:0pt;width:93.45pt;mso-wrap-distance-left:16pt;margin-left:246.35pt;z-index:2;" o:spid="_x0000_s1030" o:allowincell="t" o:allowoverlap="t" filled="t" fillcolor="#ffffff"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ascii="HG丸ｺﾞｼｯｸM-PRO" w:hAnsi="HG丸ｺﾞｼｯｸM-PRO" w:eastAsia="HG丸ｺﾞｼｯｸM-PRO"/>
          <w:sz w:val="32"/>
        </w:rPr>
        <w:t>箕　面　市</w:t>
      </w:r>
    </w:p>
    <w:p>
      <w:pPr>
        <w:pStyle w:val="0"/>
        <w:rPr>
          <w:rFonts w:hint="eastAsia"/>
        </w:rPr>
      </w:pPr>
      <w:r>
        <w:rPr>
          <w:rFonts w:hint="eastAsia"/>
        </w:rPr>
        <w:t>はじめに</w:t>
      </w:r>
    </w:p>
    <w:p>
      <w:pPr>
        <w:pStyle w:val="0"/>
        <w:rPr>
          <w:rFonts w:hint="eastAsia"/>
        </w:rPr>
      </w:pPr>
    </w:p>
    <w:p>
      <w:pPr>
        <w:pStyle w:val="0"/>
        <w:rPr>
          <w:rFonts w:hint="eastAsia"/>
          <w:u w:val="none" w:color="auto"/>
        </w:rPr>
      </w:pPr>
      <w:r>
        <w:rPr>
          <w:rFonts w:hint="eastAsia"/>
          <w:u w:val="none" w:color="auto"/>
        </w:rPr>
        <w:t>　我が国の自殺者数は、平成９年までは２万人台で推移していましたが、平成１０年の経済情勢の悪化等により一気に８，０００人あまり増加したことにより初めて３万人を超え、その後、平成２３年まで１４年連続して３万人を超える状況が続いていました。それ以降は減少傾向となり、令和元年には２０，１６９人まで減少しました。</w:t>
      </w:r>
    </w:p>
    <w:p>
      <w:pPr>
        <w:pStyle w:val="0"/>
        <w:rPr>
          <w:rFonts w:hint="eastAsia"/>
          <w:u w:val="none" w:color="auto"/>
        </w:rPr>
      </w:pPr>
      <w:r>
        <w:rPr>
          <w:rFonts w:hint="eastAsia"/>
          <w:u w:val="none" w:color="auto"/>
        </w:rPr>
        <w:t>　このような状況のもと、令和２年１月にわが国で初めて感染が確認された新型コロナウイルスは、その後全国に拡大し、</w:t>
      </w:r>
      <w:r>
        <w:rPr>
          <w:rFonts w:hint="eastAsia" w:ascii="ＭＳ 明朝" w:hAnsi="ＭＳ 明朝" w:eastAsia="ＭＳ 明朝"/>
          <w:color w:val="auto"/>
          <w:sz w:val="24"/>
          <w:u w:val="none" w:color="auto"/>
        </w:rPr>
        <w:t>政府の緊急事態宣言に伴う外出自粛や就労環境の変化が、人々のつながりや社会、家族、コミュニティの分断、失業を生じさせるなど私たちの生活に極めて大きな影響を及ぼしました。</w:t>
      </w:r>
    </w:p>
    <w:p>
      <w:pPr>
        <w:pStyle w:val="0"/>
        <w:rPr>
          <w:rFonts w:hint="eastAsia"/>
          <w:u w:val="none" w:color="auto"/>
        </w:rPr>
      </w:pPr>
      <w:r>
        <w:rPr>
          <w:rFonts w:hint="eastAsia" w:ascii="ＭＳ 明朝" w:hAnsi="ＭＳ 明朝" w:eastAsia="ＭＳ 明朝"/>
          <w:color w:val="auto"/>
          <w:sz w:val="24"/>
          <w:u w:val="none" w:color="auto"/>
        </w:rPr>
        <w:t>　これら社会環境の変化により、これまで減少していた自殺者数は、令和２年はリーマンショックの影響で経済状況が悪化した平成２１年以来１１年振りに増加に転じ、前年比９１２人（約</w:t>
      </w:r>
      <w:r>
        <w:rPr>
          <w:rFonts w:hint="eastAsia" w:ascii="ＭＳ 明朝" w:hAnsi="ＭＳ 明朝" w:eastAsia="ＭＳ 明朝"/>
          <w:color w:val="auto"/>
          <w:sz w:val="24"/>
          <w:u w:val="none" w:color="auto"/>
        </w:rPr>
        <w:t>4.5</w:t>
      </w:r>
      <w:r>
        <w:rPr>
          <w:rFonts w:hint="eastAsia" w:ascii="ＭＳ 明朝" w:hAnsi="ＭＳ 明朝" w:eastAsia="ＭＳ 明朝"/>
          <w:color w:val="auto"/>
          <w:sz w:val="24"/>
          <w:u w:val="none" w:color="auto"/>
        </w:rPr>
        <w:t>％）の増加（警察庁自殺統計より）となり、その特徴としては１０代、２０代の女性の増加が顕著となっています。</w:t>
      </w:r>
    </w:p>
    <w:p>
      <w:pPr>
        <w:pStyle w:val="0"/>
        <w:rPr>
          <w:rFonts w:hint="eastAsia"/>
          <w:u w:val="none" w:color="auto"/>
        </w:rPr>
      </w:pPr>
      <w:r>
        <w:rPr>
          <w:rFonts w:hint="eastAsia" w:ascii="ＭＳ 明朝" w:hAnsi="ＭＳ 明朝" w:eastAsia="ＭＳ 明朝"/>
          <w:color w:val="auto"/>
          <w:sz w:val="24"/>
          <w:u w:val="none" w:color="auto"/>
        </w:rPr>
        <w:t>　また、</w:t>
      </w:r>
      <w:r>
        <w:rPr>
          <w:rFonts w:hint="eastAsia"/>
          <w:u w:val="none" w:color="auto"/>
        </w:rPr>
        <w:t>有名人の自殺報道による誘発効果（ウエルテル効果）の影響などにより、令和２年７月～１２月の自殺者が全国的に急増する事態が発生し、本市でも同様に自殺者の増加が認められました。</w:t>
      </w:r>
    </w:p>
    <w:p>
      <w:pPr>
        <w:pStyle w:val="0"/>
        <w:rPr>
          <w:rFonts w:hint="eastAsia"/>
          <w:u w:val="none" w:color="auto"/>
        </w:rPr>
      </w:pPr>
      <w:r>
        <w:rPr>
          <w:rFonts w:hint="eastAsia"/>
          <w:u w:val="none" w:color="auto"/>
        </w:rPr>
        <w:t>　このコロナ禍における影響が一時的なものかどうか今後注視していく必要はありますが、これまでの人とのつながりが分断されるなど、環境や社会生活が大きく変わったことによる新たな自殺対策を講じていく必要があります。</w:t>
      </w:r>
    </w:p>
    <w:p>
      <w:pPr>
        <w:pStyle w:val="0"/>
        <w:ind w:firstLine="240" w:firstLineChars="100"/>
        <w:rPr>
          <w:rFonts w:hint="eastAsia"/>
        </w:rPr>
      </w:pPr>
      <w:r>
        <w:rPr>
          <w:rFonts w:hint="eastAsia"/>
          <w:strike w:val="0"/>
          <w:dstrike w:val="0"/>
        </w:rPr>
        <w:t>本市では、自殺対策基本法第１３条の「市町村自殺対策計画」として、平成３１年３月に「箕面市自殺対策推進計画」を策定し、自殺予防のための人材育成や正しい知識の普及啓発等を実施するとともに、庁内の保健・福祉・教育等の分野で実施される各対策の進捗管理等を行い、次段階の自殺対策へ向けた評価を実施する予定としていましたが、コロナ禍の影響に加え</w:t>
      </w:r>
      <w:r>
        <w:rPr>
          <w:rFonts w:hint="eastAsia"/>
        </w:rPr>
        <w:t>令和３年４月１日に地域共生社会の実現のため社会福祉法が一部改正され、その中で生活困窮者等の地域生活課題の解決に資する支援を包括的に提供することになるなど、平成３０年度の本計画策定時と社会情勢等が大きく変わったことから「箕面市自殺対策推進計画」を見直すこととしました。</w:t>
      </w:r>
    </w:p>
    <w:p>
      <w:pPr>
        <w:pStyle w:val="0"/>
        <w:rPr>
          <w:rFonts w:hint="eastAsia"/>
        </w:rPr>
      </w:pPr>
      <w:r>
        <w:rPr>
          <w:rFonts w:hint="eastAsia"/>
        </w:rPr>
        <w:t>　今後も、本計画書に基づき、「誰一人取り残さない」「誰も自殺に追い込まれることのない」まちづくりをめざし、自殺予防を推進していきます。</w:t>
      </w:r>
    </w:p>
    <w:p>
      <w:pPr>
        <w:pStyle w:val="0"/>
        <w:rPr>
          <w:rFonts w:hint="eastAsia"/>
        </w:rPr>
      </w:pPr>
    </w:p>
    <w:p>
      <w:pPr>
        <w:pStyle w:val="0"/>
        <w:rPr>
          <w:rFonts w:hint="eastAsia"/>
        </w:rPr>
      </w:pPr>
    </w:p>
    <w:p>
      <w:pPr>
        <w:pStyle w:val="0"/>
        <w:rPr>
          <w:rFonts w:hint="eastAsia"/>
        </w:rPr>
      </w:pPr>
    </w:p>
    <w:p>
      <w:pPr>
        <w:pStyle w:val="0"/>
        <w:rPr>
          <w:rFonts w:hint="eastAsia"/>
        </w:rPr>
      </w:pPr>
      <w:bookmarkStart w:id="0" w:name="_GoBack"/>
      <w:bookmarkEnd w:id="0"/>
    </w:p>
    <w:sectPr>
      <w:type w:val="continuous"/>
      <w:pgSz w:w="11906" w:h="16838"/>
      <w:pgMar w:top="1701"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innerDocument_section_active_div"/>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atLeast"/>
      <w:ind w:leftChars="0" w:rightChars="0" w:firstLineChars="0"/>
      <w:contextualSpacing w:val="0"/>
      <w:mirrorIndents w:val="0"/>
      <w:jc w:val="both"/>
      <w:outlineLvl w:val="9"/>
      <w15:collapsed w:val="0"/>
    </w:pPr>
    <w:rPr>
      <w:rFonts w:ascii="メイリオ" w:hAnsi="メイリオ" w:eastAsia="メイリオ"/>
      <w:dstrike w:val="0"/>
      <w:color w:val="323232"/>
      <w:w w:val="100"/>
      <w:sz w:val="24"/>
      <w:highlight w:val="none"/>
      <w:u w:val="none" w:color="auto"/>
      <w:bdr w:val="none" w:color="auto" w:sz="0" w:space="0"/>
      <w:shd w:val="clear" w:color="auto" w:fill="auto"/>
      <w:vertAlign w:val="baseline"/>
      <w:em w:val="none"/>
    </w:rPr>
  </w:style>
  <w:style w:type="paragraph" w:styleId="16">
    <w:name w:val="No Spacing"/>
    <w:next w:val="16"/>
    <w:link w:val="0"/>
    <w:uiPriority w:val="0"/>
    <w:qFormat/>
    <w:pPr>
      <w:widowControl w:val="0"/>
      <w:jc w:val="both"/>
    </w:pPr>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テーマの表 35（ビジネス2-7）"/>
    <w:basedOn w:val="11"/>
    <w:next w:val="22"/>
    <w:link w:val="0"/>
    <w:uiPriority w:val="0"/>
    <w:tblPr>
      <w:tblStyleRowBandSize w:val="1"/>
      <w:tblStyleColBandSize w:val="1"/>
      <w:tblInd w:w="0" w:type="dxa"/>
      <w:tblBorders>
        <w:top w:val="single" w:color="A9D08E" w:themeColor="accent6" w:themeTint="99" w:sz="8" w:space="0"/>
        <w:left w:val="single" w:color="A9D08E" w:themeColor="accent6" w:themeTint="99" w:sz="8" w:space="0"/>
        <w:bottom w:val="single" w:color="A9D08E" w:themeColor="accent6" w:themeTint="99" w:sz="12" w:space="0"/>
        <w:right w:val="single" w:color="A9D08E" w:themeColor="accent6" w:themeTint="99" w:sz="12" w:space="0"/>
        <w:insideH w:val="single" w:color="A9D08E" w:themeColor="accent6"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6" w:themeFillTint="33" w:themeFillShade="FF"/>
      </w:tcPr>
    </w:tblStylePr>
    <w:tblStylePr w:type="band2Vert">
      <w:tblPr/>
      <w:trPr/>
      <w:tcPr>
        <w:shd w:val="clear" w:color="auto" w:themeFill="accent6" w:themeFillTint="33" w:themeFillShade="FF"/>
      </w:tcPr>
    </w:tblStylePr>
    <w:tblStylePr w:type="lastCol">
      <w:rPr>
        <w:b w:val="1"/>
        <w:color w:val="548235" w:themeColor="accent6" w:themeShade="BF"/>
      </w:rPr>
      <w:tblPr/>
      <w:trPr/>
      <w:tcPr/>
    </w:tblStylePr>
    <w:tblStylePr w:type="firstCol">
      <w:rPr>
        <w:b w:val="1"/>
        <w:color w:val="548235" w:themeColor="accent6" w:themeShade="BF"/>
      </w:rPr>
      <w:tblPr/>
      <w:trPr/>
      <w:tcPr>
        <w:tcBorders>
          <w:left w:val="single" w:color="A9D08E" w:themeColor="accent6" w:themeTint="99" w:sz="8" w:space="0"/>
        </w:tcBorders>
      </w:tcPr>
    </w:tblStylePr>
    <w:tblStylePr w:type="lastRow">
      <w:rPr>
        <w:b w:val="1"/>
        <w:color w:val="548235" w:themeColor="accent6" w:themeShade="BF"/>
      </w:rPr>
      <w:tblPr/>
      <w:trPr/>
      <w:tcPr>
        <w:tcBorders>
          <w:bottom w:val="single" w:color="A9D08E" w:themeColor="accent6" w:themeTint="99" w:sz="12" w:space="0"/>
        </w:tcBorders>
        <w:shd w:val="clear" w:color="auto" w:themeFill="accent6" w:themeFillTint="33" w:themeFillShade="FF"/>
      </w:tcPr>
    </w:tblStylePr>
    <w:tblStylePr w:type="firstRow">
      <w:rPr>
        <w:b w:val="1"/>
        <w:color w:val="548235" w:themeColor="accent6" w:themeShade="BF"/>
      </w:rPr>
      <w:tblPr/>
      <w:trPr/>
      <w:tcPr>
        <w:tcBorders>
          <w:top w:val="single" w:color="A9D08E" w:themeColor="accent6" w:themeTint="99" w:sz="8" w:space="0"/>
          <w:bottom w:val="single" w:color="A9D08E" w:themeColor="accent6" w:themeTint="99" w:sz="8" w:space="0"/>
          <w:left w:val="single" w:color="A9D08E" w:themeColor="accent6" w:themeTint="99" w:sz="8" w:space="0"/>
        </w:tcBorders>
        <w:shd w:val="clear" w:color="auto" w:themeFill="accent6" w:themeFillTint="33" w:themeFillShade="FF"/>
      </w:tcPr>
    </w:tblStylePr>
  </w:style>
  <w:style w:type="table" w:styleId="23" w:customStyle="1">
    <w:name w:val="テーマの表  1（シンプル1-1）"/>
    <w:basedOn w:val="11"/>
    <w:next w:val="2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918</TotalTime>
  <Pages>36</Pages>
  <Words>154</Words>
  <Characters>18511</Characters>
  <Application>JUST Note</Application>
  <Lines>2540</Lines>
  <Paragraphs>723</Paragraphs>
  <Company>箕面市役所</Company>
  <CharactersWithSpaces>18769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北村　清(手動)</dc:creator>
  <cp:lastModifiedBy>髙橋　幸子(手動)</cp:lastModifiedBy>
  <cp:lastPrinted>2021-11-27T23:50:20Z</cp:lastPrinted>
  <dcterms:created xsi:type="dcterms:W3CDTF">2021-10-20T09:02:00Z</dcterms:created>
  <dcterms:modified xsi:type="dcterms:W3CDTF">2021-11-29T01:49:41Z</dcterms:modified>
  <cp:revision>37</cp:revision>
</cp:coreProperties>
</file>