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g">
            <w:drawing>
              <wp:anchor simplePos="0" relativeHeight="2" behindDoc="0" locked="0" layoutInCell="1" hidden="0" allowOverlap="1">
                <wp:simplePos x="0" y="0"/>
                <wp:positionH relativeFrom="column">
                  <wp:posOffset>0</wp:posOffset>
                </wp:positionH>
                <wp:positionV relativeFrom="paragraph">
                  <wp:posOffset>17145</wp:posOffset>
                </wp:positionV>
                <wp:extent cx="5750560" cy="387350"/>
                <wp:effectExtent l="0" t="0" r="635" b="635"/>
                <wp:wrapNone/>
                <wp:docPr id="1026" name="オブジェクト 0"/>
                <a:graphic xmlns:a="http://schemas.openxmlformats.org/drawingml/2006/main">
                  <a:graphicData uri="http://schemas.microsoft.com/office/word/2010/wordprocessingGroup">
                    <wpg:wgp>
                      <wpg:cNvGrpSpPr/>
                      <wpg:grpSpPr>
                        <a:xfrm>
                          <a:off x="0" y="0"/>
                          <a:ext cx="5750560" cy="387350"/>
                          <a:chOff x="1443" y="6703"/>
                          <a:chExt cx="9028" cy="610"/>
                        </a:xfrm>
                      </wpg:grpSpPr>
                      <wps:wsp>
                        <wps:cNvPr id="1027" name="オブジェクト 0"/>
                        <wps:cNvSpPr/>
                        <wps:spPr>
                          <a:xfrm>
                            <a:off x="1443" y="6703"/>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1568" y="6751"/>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第３章　　自殺対策の基本的な考え</w:t>
                              </w:r>
                            </w:p>
                          </w:txbxContent>
                        </wps:txbx>
                        <wps:bodyPr vertOverflow="overflow" horzOverflow="overflow" wrap="square" lIns="74295" tIns="8890" rIns="74295" bIns="8890"/>
                      </wps:wsp>
                    </wpg:wgp>
                  </a:graphicData>
                </a:graphic>
              </wp:anchor>
            </w:drawing>
          </mc:Choice>
          <mc:Fallback>
            <w:pict>
              <v:group id="オブジェクト 0" style="margin-top:1.35pt;mso-position-vertical-relative:text;mso-position-horizontal-relative:text;position:absolute;height:30.5pt;width:452.8pt;margin-left:0pt;z-index:2;" coordsize="9028,610" coordorigin="1443,6703" o:spid="_x0000_s1026" o:allowincell="t" o:allowoverlap="t">
                <v:rect id="オブジェクト 0" style="height:494;width:9028;top:6703;left:1443;position:absolute;" o:spid="_x0000_s1027"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6751;left:1568;position:absolute;" o:spid="_x0000_s102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第３章　　自殺対策の基本的な考え</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３－１　国の基本方針</w:t>
      </w:r>
    </w:p>
    <w:p>
      <w:pPr>
        <w:pStyle w:val="0"/>
        <w:rPr>
          <w:rFonts w:hint="eastAsia" w:ascii="AR Pゴシック体M" w:hAnsi="AR Pゴシック体M" w:eastAsia="AR Pゴシック体M"/>
          <w:b w:val="1"/>
          <w:sz w:val="28"/>
        </w:rPr>
      </w:pPr>
    </w:p>
    <w:p>
      <w:pPr>
        <w:pStyle w:val="0"/>
        <w:ind w:left="0" w:leftChars="0" w:firstLine="240" w:firstLineChars="100"/>
        <w:rPr>
          <w:rFonts w:hint="eastAsia"/>
        </w:rPr>
      </w:pPr>
      <w:r>
        <w:rPr>
          <w:rFonts w:hint="eastAsia"/>
          <w:sz w:val="24"/>
        </w:rPr>
        <w:t>平成２９年７月に閣議決定された国の大綱では自殺総合対策の基本方針として、以下の５点が揚げられています。</w:t>
      </w:r>
    </w:p>
    <w:p>
      <w:pPr>
        <w:pStyle w:val="0"/>
        <w:ind w:leftChars="0" w:firstLine="0" w:firstLineChars="0"/>
        <w:rPr>
          <w:rFonts w:hint="eastAsia"/>
        </w:rPr>
      </w:pPr>
      <w:r>
        <w:rPr>
          <w:rFonts w:hint="eastAsia"/>
        </w:rPr>
        <mc:AlternateContent>
          <mc:Choice Requires="wpg">
            <w:drawing>
              <wp:anchor simplePos="0" relativeHeight="6" behindDoc="0" locked="0" layoutInCell="1" hidden="0" allowOverlap="1">
                <wp:simplePos x="0" y="0"/>
                <wp:positionH relativeFrom="column">
                  <wp:posOffset>214630</wp:posOffset>
                </wp:positionH>
                <wp:positionV relativeFrom="paragraph">
                  <wp:posOffset>203835</wp:posOffset>
                </wp:positionV>
                <wp:extent cx="5265420" cy="1466850"/>
                <wp:effectExtent l="0" t="0" r="635" b="635"/>
                <wp:wrapNone/>
                <wp:docPr id="1029" name="オブジェクト 0"/>
                <a:graphic xmlns:a="http://schemas.openxmlformats.org/drawingml/2006/main">
                  <a:graphicData uri="http://schemas.microsoft.com/office/word/2010/wordprocessingGroup">
                    <wpg:wgp>
                      <wpg:cNvGrpSpPr/>
                      <wpg:grpSpPr>
                        <a:xfrm>
                          <a:off x="0" y="0"/>
                          <a:ext cx="5265420" cy="1466850"/>
                          <a:chOff x="1755" y="4506"/>
                          <a:chExt cx="8292" cy="2310"/>
                        </a:xfrm>
                      </wpg:grpSpPr>
                      <wps:wsp>
                        <wps:cNvPr id="1030" name="オブジェクト 0"/>
                        <wps:cNvSpPr/>
                        <wps:spPr>
                          <a:xfrm>
                            <a:off x="1755" y="4506"/>
                            <a:ext cx="8292" cy="2310"/>
                          </a:xfrm>
                          <a:prstGeom prst="foldedCorner">
                            <a:avLst/>
                          </a:prstGeom>
                          <a:solidFill>
                            <a:schemeClr val="accent6">
                              <a:lumMod val="60000"/>
                              <a:lumOff val="40000"/>
                            </a:schemeClr>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オブジェクト 0"/>
                        <wps:cNvSpPr txBox="1"/>
                        <wps:spPr>
                          <a:xfrm>
                            <a:off x="2005" y="4685"/>
                            <a:ext cx="7635" cy="191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基本方針１　生きることの包括的な支援として推進</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基本方針２　関連施策との有機的な連携による総合的な対策の展開</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基本方針３　対応の段階に応じたレベルごとの対策の効果的な連動</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基本方針４　実践と啓発を両輪として推進</w:t>
                              </w:r>
                            </w:p>
                            <w:p>
                              <w:pPr>
                                <w:pStyle w:val="0"/>
                                <w:rPr>
                                  <w:rFonts w:hint="eastAsia"/>
                                </w:rPr>
                              </w:pPr>
                              <w:r>
                                <w:rPr>
                                  <w:rFonts w:hint="eastAsia" w:ascii="ＭＳ ゴシック" w:hAnsi="ＭＳ ゴシック" w:eastAsia="ＭＳ ゴシック"/>
                                  <w:sz w:val="24"/>
                                </w:rPr>
                                <w:t>基本方針５　関係者の役割の明確化と関係者による連携・協働の推進</w:t>
                              </w:r>
                            </w:p>
                          </w:txbxContent>
                        </wps:txbx>
                        <wps:bodyPr vertOverflow="overflow" horzOverflow="overflow" wrap="square" lIns="74295" tIns="8890" rIns="74295" bIns="8890"/>
                      </wps:wsp>
                    </wpg:wgp>
                  </a:graphicData>
                </a:graphic>
              </wp:anchor>
            </w:drawing>
          </mc:Choice>
          <mc:Fallback>
            <w:pict>
              <v:group id="オブジェクト 0" style="margin-top:16.05pt;mso-position-vertical-relative:text;mso-position-horizontal-relative:text;position:absolute;height:115.5pt;width:414.6pt;margin-left:16.89pt;z-index:6;" coordsize="8292,2310" coordorigin="1755,4506" o:spid="_x0000_s1029" o:allowincell="t" o:allowoverlap="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height:2310;width:8292;top:4506;left:1755;position:absolute;" o:spid="_x0000_s1030" filled="t" fillcolor="#a9d08e [1945]" stroked="f" strokecolor="#42709c" strokeweight="1pt" o:spt="65" type="#_x0000_t65" adj="18000">
                  <v:fill/>
                  <v:stroke linestyle="single" miterlimit="8"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1913;width:7635;top:4685;left:2005;position:absolute;" o:spid="_x0000_s1031" filled="f" stroked="f" strokeweight="0.5pt" o:spt="202" type="#_x0000_t202">
                  <v:fill/>
                  <v:stroke linestyle="single"/>
                  <v:textbox style="layout-flow:horizontal;" inset="2.0637499999999998mm,0.24694444444444438mm,2.0637499999999998mm,0.24694444444444438mm">
                    <w:txbxContent>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基本方針１　生きることの包括的な支援として推進</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基本方針２　関連施策との有機的な連携による総合的な対策の展開</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基本方針３　対応の段階に応じたレベルごとの対策の効果的な連動</w:t>
                        </w:r>
                      </w:p>
                      <w:p>
                        <w:pPr>
                          <w:pStyle w:val="0"/>
                          <w:ind w:leftChars="0" w:firstLineChars="0"/>
                          <w:rPr>
                            <w:rFonts w:hint="eastAsia" w:ascii="ＭＳ ゴシック" w:hAnsi="ＭＳ ゴシック" w:eastAsia="ＭＳ ゴシック"/>
                            <w:sz w:val="24"/>
                          </w:rPr>
                        </w:pPr>
                        <w:r>
                          <w:rPr>
                            <w:rFonts w:hint="eastAsia" w:ascii="ＭＳ ゴシック" w:hAnsi="ＭＳ ゴシック" w:eastAsia="ＭＳ ゴシック"/>
                            <w:sz w:val="24"/>
                          </w:rPr>
                          <w:t>基本方針４　実践と啓発を両輪として推進</w:t>
                        </w:r>
                      </w:p>
                      <w:p>
                        <w:pPr>
                          <w:pStyle w:val="0"/>
                          <w:rPr>
                            <w:rFonts w:hint="eastAsia"/>
                          </w:rPr>
                        </w:pPr>
                        <w:r>
                          <w:rPr>
                            <w:rFonts w:hint="eastAsia" w:ascii="ＭＳ ゴシック" w:hAnsi="ＭＳ ゴシック" w:eastAsia="ＭＳ ゴシック"/>
                            <w:sz w:val="24"/>
                          </w:rPr>
                          <w:t>基本方針５　関係者の役割の明確化と関係者による連携・協働の推進</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３－２　本市の基本的な考え方</w:t>
      </w:r>
    </w:p>
    <w:p>
      <w:pPr>
        <w:pStyle w:val="0"/>
        <w:rPr>
          <w:rFonts w:hint="eastAsia" w:ascii="AR Pゴシック体M" w:hAnsi="AR Pゴシック体M" w:eastAsia="AR Pゴシック体M"/>
          <w:b w:val="1"/>
          <w:sz w:val="28"/>
        </w:rPr>
      </w:pPr>
    </w:p>
    <w:p>
      <w:pPr>
        <w:pStyle w:val="0"/>
        <w:ind w:leftChars="0" w:firstLineChars="0"/>
        <w:rPr>
          <w:rFonts w:hint="eastAsia"/>
          <w:sz w:val="24"/>
        </w:rPr>
      </w:pPr>
      <w:r>
        <w:rPr>
          <w:rFonts w:hint="eastAsia"/>
          <w:sz w:val="24"/>
        </w:rPr>
        <w:t>　本市での今までの自殺対策への取組みや自殺者の特徴を踏まえ、自殺対策の基本的な考え方や方向性を示すとともに、自殺対策関連施策を実施していきます。　</w:t>
      </w:r>
    </w:p>
    <w:p>
      <w:pPr>
        <w:pStyle w:val="0"/>
        <w:rPr>
          <w:rFonts w:hint="eastAsia" w:ascii="AR Pゴシック体M" w:hAnsi="AR Pゴシック体M" w:eastAsia="AR Pゴシック体M"/>
          <w:b w:val="1"/>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0</wp:posOffset>
                </wp:positionH>
                <wp:positionV relativeFrom="paragraph">
                  <wp:posOffset>242570</wp:posOffset>
                </wp:positionV>
                <wp:extent cx="1461770" cy="2286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461770" cy="228600"/>
                        </a:xfrm>
                        <a:prstGeom prst="homePlate">
                          <a:avLst/>
                        </a:prstGeom>
                        <a:solidFill>
                          <a:schemeClr val="accent6">
                            <a:lumMod val="40000"/>
                            <a:lumOff val="60000"/>
                          </a:schemeClr>
                        </a:solidFill>
                        <a:ln w="12700"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19.100000000000001pt;mso-position-vertical-relative:text;mso-position-horizontal-relative:text;position:absolute;height:18pt;mso-wrap-distance-top:0pt;width:115.1pt;mso-wrap-distance-left:16pt;margin-left:0pt;z-index:-503316475;" o:spid="_x0000_s1032" o:allowincell="t" o:allowoverlap="t" filled="t" fillcolor="#c6e0b4 [1305]" stroked="t" strokecolor="#70ad47 [3209]"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ascii="AR Pゴシック体M" w:hAnsi="AR Pゴシック体M" w:eastAsia="AR Pゴシック体M"/>
          <w:b w:val="1"/>
        </w:rPr>
        <w:t>　　</w:t>
      </w: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rPr>
        <w:t>　基本的な考え方</w:t>
      </w:r>
      <w:r>
        <w:rPr>
          <w:rFonts w:hint="eastAsia" w:ascii="AR Pゴシック体M" w:hAnsi="AR Pゴシック体M" w:eastAsia="AR Pゴシック体M"/>
          <w:b w:val="1"/>
          <w:sz w:val="12"/>
        </w:rPr>
        <w:t>　</w:t>
      </w:r>
      <w:r>
        <w:rPr>
          <w:rFonts w:hint="eastAsia" w:ascii="AR Pゴシック体M" w:hAnsi="AR Pゴシック体M" w:eastAsia="AR Pゴシック体M"/>
          <w:b w:val="1"/>
        </w:rPr>
        <w:t>１　　自殺対策に包括的に取り組むための連携強化</w:t>
      </w:r>
    </w:p>
    <w:p>
      <w:pPr>
        <w:pStyle w:val="0"/>
        <w:rPr>
          <w:rFonts w:hint="eastAsia" w:ascii="AR Pゴシック体M" w:hAnsi="AR Pゴシック体M" w:eastAsia="AR Pゴシック体M"/>
          <w:b w:val="1"/>
        </w:rPr>
      </w:pPr>
    </w:p>
    <w:p>
      <w:pPr>
        <w:pStyle w:val="0"/>
        <w:ind w:leftChars="0" w:firstLineChars="0"/>
        <w:rPr>
          <w:rFonts w:hint="eastAsia"/>
          <w:sz w:val="24"/>
        </w:rPr>
      </w:pPr>
      <w:r>
        <w:rPr>
          <w:rFonts w:hint="eastAsia" w:ascii="AR Pゴシック体M" w:hAnsi="AR Pゴシック体M" w:eastAsia="AR Pゴシック体M"/>
          <w:b w:val="1"/>
        </w:rPr>
        <w:t>　</w:t>
      </w:r>
      <w:r>
        <w:rPr>
          <w:rFonts w:hint="eastAsia"/>
          <w:sz w:val="24"/>
        </w:rPr>
        <w:t>自殺の要因としては「健康問題」や「経済・生活問題」「家庭問題」の他、様々な要因が考えられます。自殺を防ぐためには、精神保健的な視点だけでなく、社会・経済的な視点を含む包括的な取り組みが重要です。</w:t>
      </w:r>
    </w:p>
    <w:p>
      <w:pPr>
        <w:pStyle w:val="0"/>
        <w:ind w:leftChars="0" w:firstLineChars="0"/>
        <w:rPr>
          <w:rFonts w:hint="eastAsia" w:ascii="AR Pゴシック体M" w:hAnsi="AR Pゴシック体M" w:eastAsia="AR Pゴシック体M"/>
          <w:b w:val="1"/>
        </w:rPr>
      </w:pPr>
      <w:r>
        <w:rPr>
          <w:rFonts w:hint="eastAsia"/>
          <w:sz w:val="24"/>
        </w:rPr>
        <w:t>　現時点でも行政及び各関係団体や民間団体等がそれぞれの分野において支援を行っていますが、それぞれの相談窓口が「生きる支援」という意識で、ひいては自殺対策の一翼を担っているという認識を共有することが重要です。そのためには、精神保健、福祉、経済対策、人権、教育等、それぞれの施策の連動性を高めていく必要があります。</w:t>
      </w:r>
    </w:p>
    <w:p>
      <w:pPr>
        <w:pStyle w:val="0"/>
        <w:ind w:left="0" w:leftChars="0" w:hanging="240" w:hangingChars="100"/>
        <w:rPr>
          <w:rFonts w:hint="eastAsia" w:ascii="AR Pゴシック体M" w:hAnsi="AR Pゴシック体M" w:eastAsia="AR Pゴシック体M"/>
          <w:b w:val="1"/>
        </w:rPr>
      </w:pPr>
    </w:p>
    <w:p>
      <w:pPr>
        <w:pStyle w:val="0"/>
        <w:ind w:left="0" w:leftChars="0" w:hanging="240" w:hangingChars="100"/>
        <w:rPr>
          <w:rFonts w:hint="eastAsia" w:ascii="AR Pゴシック体M" w:hAnsi="AR Pゴシック体M" w:eastAsia="AR Pゴシック体M"/>
          <w:b w:val="1"/>
        </w:rPr>
      </w:pPr>
      <w:r>
        <w:rPr>
          <w:rFonts w:hint="eastAsia"/>
        </w:rPr>
        <mc:AlternateContent>
          <mc:Choice Requires="wps">
            <w:drawing>
              <wp:anchor distT="0" distB="0" distL="203200" distR="203200" simplePos="0" relativeHeight="6" behindDoc="1" locked="0" layoutInCell="1" hidden="0" allowOverlap="1">
                <wp:simplePos x="0" y="0"/>
                <wp:positionH relativeFrom="column">
                  <wp:posOffset>0</wp:posOffset>
                </wp:positionH>
                <wp:positionV relativeFrom="paragraph">
                  <wp:posOffset>14605</wp:posOffset>
                </wp:positionV>
                <wp:extent cx="1461770" cy="2286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461770" cy="228600"/>
                        </a:xfrm>
                        <a:prstGeom prst="homePlate">
                          <a:avLst/>
                        </a:prstGeom>
                        <a:solidFill>
                          <a:schemeClr val="accent6">
                            <a:lumMod val="40000"/>
                            <a:lumOff val="60000"/>
                          </a:schemeClr>
                        </a:solidFill>
                        <a:ln w="12700"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1.1399999999999999pt;mso-position-vertical-relative:text;mso-position-horizontal-relative:text;position:absolute;height:18pt;mso-wrap-distance-top:0pt;width:115.1pt;mso-wrap-distance-left:16pt;margin-left:0pt;z-index:-503316474;" o:spid="_x0000_s1033" o:allowincell="t" o:allowoverlap="t" filled="t" fillcolor="#c6e0b4 [1305]" stroked="t" strokecolor="#70ad47 [3209]"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sz w:val="24"/>
        </w:rPr>
        <w:t>　</w:t>
      </w:r>
      <w:r>
        <w:rPr>
          <w:rFonts w:hint="eastAsia" w:ascii="AR Pゴシック体M" w:hAnsi="AR Pゴシック体M" w:eastAsia="AR Pゴシック体M"/>
          <w:b w:val="1"/>
        </w:rPr>
        <w:t>基本的な考え方</w:t>
      </w:r>
      <w:r>
        <w:rPr>
          <w:rFonts w:hint="eastAsia" w:ascii="AR Pゴシック体M" w:hAnsi="AR Pゴシック体M" w:eastAsia="AR Pゴシック体M"/>
          <w:b w:val="1"/>
          <w:sz w:val="12"/>
        </w:rPr>
        <w:t>　</w:t>
      </w:r>
      <w:r>
        <w:rPr>
          <w:rFonts w:hint="eastAsia" w:ascii="AR Pゴシック体M" w:hAnsi="AR Pゴシック体M" w:eastAsia="AR Pゴシック体M"/>
          <w:b w:val="1"/>
        </w:rPr>
        <w:t>２　　誰も自殺に追い込まれることのない安心できるまちづくり</w:t>
      </w:r>
    </w:p>
    <w:p>
      <w:pPr>
        <w:pStyle w:val="0"/>
        <w:ind w:left="0" w:leftChars="0" w:hanging="240" w:hangingChars="100"/>
        <w:rPr>
          <w:rFonts w:hint="eastAsia" w:ascii="AR Pゴシック体M" w:hAnsi="AR Pゴシック体M" w:eastAsia="AR Pゴシック体M"/>
          <w:b w:val="1"/>
        </w:rPr>
      </w:pPr>
    </w:p>
    <w:p>
      <w:pPr>
        <w:pStyle w:val="0"/>
        <w:ind w:leftChars="0" w:firstLine="0" w:firstLineChars="0"/>
        <w:rPr>
          <w:rFonts w:hint="eastAsia"/>
        </w:rPr>
      </w:pPr>
      <w:r>
        <w:rPr>
          <w:rFonts w:hint="eastAsia"/>
          <w:sz w:val="24"/>
        </w:rPr>
        <w:t>　自殺は追い込まれた末の死といわれています。そして自殺に追い込まれるという危機は「誰にでも起こりうる危機」と言われています。しかし、危機から自殺に至る経緯や危機に陥った人の心情や背景などが理解されにくい現実があります。危機に陥った場合は、ひとりで悩まず誰かに相談することが大切であることや危機に陥った人に気づいた場合は、専門機関や支援のできる誰かにつなげるなど、地域全体の共通認識になるよう普及啓発をすることが大切です。</w:t>
      </w:r>
    </w:p>
    <w:p>
      <w:pPr>
        <w:pStyle w:val="0"/>
        <w:ind w:leftChars="0" w:firstLine="0" w:firstLineChars="0"/>
        <w:rPr>
          <w:rFonts w:hint="eastAsia"/>
        </w:rPr>
      </w:pPr>
    </w:p>
    <w:p>
      <w:pPr>
        <w:pStyle w:val="0"/>
        <w:adjustRightInd w:val="0"/>
        <w:snapToGrid w:val="0"/>
        <w:ind w:leftChars="0" w:firstLineChars="0"/>
        <w:rPr>
          <w:rFonts w:hint="eastAsia"/>
          <w:sz w:val="24"/>
        </w:rPr>
      </w:pPr>
    </w:p>
    <w:p>
      <w:pPr>
        <w:pStyle w:val="0"/>
        <w:ind w:leftChars="0" w:firstLineChars="0"/>
        <w:rPr>
          <w:rFonts w:hint="eastAsia" w:ascii="AR Pゴシック体M" w:hAnsi="AR Pゴシック体M" w:eastAsia="AR Pゴシック体M"/>
          <w:b w:val="1"/>
          <w:sz w:val="24"/>
        </w:rPr>
      </w:pPr>
      <w:r>
        <w:rPr>
          <w:rFonts w:hint="eastAsia"/>
        </w:rPr>
        <mc:AlternateContent>
          <mc:Choice Requires="wps">
            <w:drawing>
              <wp:anchor distT="0" distB="0" distL="203200" distR="203200" simplePos="0" relativeHeight="6" behindDoc="1" locked="0" layoutInCell="1" hidden="0" allowOverlap="1">
                <wp:simplePos x="0" y="0"/>
                <wp:positionH relativeFrom="column">
                  <wp:posOffset>-3175</wp:posOffset>
                </wp:positionH>
                <wp:positionV relativeFrom="paragraph">
                  <wp:posOffset>6350</wp:posOffset>
                </wp:positionV>
                <wp:extent cx="1461770" cy="2286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461770" cy="228600"/>
                        </a:xfrm>
                        <a:prstGeom prst="homePlate">
                          <a:avLst/>
                        </a:prstGeom>
                        <a:solidFill>
                          <a:schemeClr val="accent6">
                            <a:lumMod val="40000"/>
                            <a:lumOff val="60000"/>
                          </a:schemeClr>
                        </a:solidFill>
                        <a:ln w="12700" cap="flat" cmpd="sng" algn="ctr">
                          <a:solidFill>
                            <a:schemeClr val="accent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mso-wrap-distance-right:16pt;mso-wrap-distance-bottom:0pt;margin-top:0.5pt;mso-position-vertical-relative:text;mso-position-horizontal-relative:text;position:absolute;height:18pt;mso-wrap-distance-top:0pt;width:115.1pt;mso-wrap-distance-left:16pt;margin-left:-0.25pt;z-index:-503316474;" o:spid="_x0000_s1034" o:allowincell="t" o:allowoverlap="t" filled="t" fillcolor="#c6e0b4 [1305]" stroked="t" strokecolor="#70ad47 [3209]" strokeweight="1pt" o:spt="15" type="#_x0000_t15" adj="10800">
                <v:fill/>
                <v:stroke linestyle="single" miterlimit="8" endcap="flat" dashstyle="solid" filltype="solid"/>
                <v:textbox style="layout-flow:horizontal;"/>
                <v:imagedata o:title=""/>
                <w10:wrap type="none" anchorx="text" anchory="text"/>
              </v:shape>
            </w:pict>
          </mc:Fallback>
        </mc:AlternateContent>
      </w:r>
      <w:r>
        <w:rPr>
          <w:rFonts w:hint="eastAsia" w:ascii="AR Pゴシック体M" w:hAnsi="AR Pゴシック体M" w:eastAsia="AR Pゴシック体M"/>
          <w:b w:val="1"/>
          <w:sz w:val="24"/>
        </w:rPr>
        <w:t>基本的な考え方</w:t>
      </w:r>
      <w:r>
        <w:rPr>
          <w:rFonts w:hint="eastAsia" w:ascii="AR Pゴシック体M" w:hAnsi="AR Pゴシック体M" w:eastAsia="AR Pゴシック体M"/>
          <w:b w:val="1"/>
          <w:sz w:val="12"/>
        </w:rPr>
        <w:t>　</w:t>
      </w:r>
      <w:r>
        <w:rPr>
          <w:rFonts w:hint="eastAsia" w:ascii="AR Pゴシック体M" w:hAnsi="AR Pゴシック体M" w:eastAsia="AR Pゴシック体M"/>
          <w:b w:val="1"/>
          <w:sz w:val="24"/>
        </w:rPr>
        <w:t>３　　　自殺を取りまく様々な問題を明確にし、総合的に対策を推進</w:t>
      </w:r>
    </w:p>
    <w:p>
      <w:pPr>
        <w:pStyle w:val="0"/>
        <w:ind w:leftChars="0" w:firstLine="0" w:firstLineChars="0"/>
        <w:rPr>
          <w:rFonts w:hint="eastAsia"/>
        </w:rPr>
      </w:pPr>
    </w:p>
    <w:p>
      <w:pPr>
        <w:pStyle w:val="0"/>
        <w:ind w:left="0" w:leftChars="0" w:firstLine="240" w:firstLineChars="100"/>
        <w:rPr>
          <w:rFonts w:hint="eastAsia"/>
        </w:rPr>
      </w:pPr>
      <w:r>
        <w:rPr>
          <w:rFonts w:hint="eastAsia"/>
          <w:sz w:val="24"/>
        </w:rPr>
        <w:t>自殺の要因は様々であり、本市の人口規模を鑑みると単年度毎の数値や事象で施策を検討するのではなく、５年間の累積データを基に提供される「地域自殺実態プロファイル」（自殺対策推進センター）などで自殺統計を検証分析した施策展開が重要です。検証結果を担当課室が実施する啓発活動に反映するとともに、様々な生活課題に取り組む関係機関への情報提供が必要で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bookmarkStart w:id="0" w:name="_GoBack"/>
      <w:bookmarkEnd w:id="0"/>
    </w:p>
    <w:sectPr>
      <w:type w:val="continuous"/>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innerDocument_section_active_div"/>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tLeast"/>
      <w:ind w:leftChars="0" w:rightChars="0" w:firstLineChars="0"/>
      <w:contextualSpacing w:val="0"/>
      <w:mirrorIndents w:val="0"/>
      <w:jc w:val="both"/>
      <w:outlineLvl w:val="9"/>
      <w15:collapsed w:val="0"/>
    </w:pPr>
    <w:rPr>
      <w:rFonts w:ascii="メイリオ" w:hAnsi="メイリオ" w:eastAsia="メイリオ"/>
      <w:dstrike w:val="0"/>
      <w:color w:val="323232"/>
      <w:w w:val="100"/>
      <w:sz w:val="24"/>
      <w:highlight w:val="none"/>
      <w:u w:val="none" w:color="auto"/>
      <w:bdr w:val="none" w:color="auto" w:sz="0" w:space="0"/>
      <w:shd w:val="clear" w:color="auto" w:fill="auto"/>
      <w:vertAlign w:val="baseline"/>
      <w:em w:val="none"/>
    </w:rPr>
  </w:style>
  <w:style w:type="paragraph" w:styleId="16">
    <w:name w:val="No Spacing"/>
    <w:next w:val="16"/>
    <w:link w:val="0"/>
    <w:uiPriority w:val="0"/>
    <w:qFormat/>
    <w:pPr>
      <w:widowControl w:val="0"/>
      <w:jc w:val="both"/>
    </w:pPr>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テーマの表 35（ビジネス2-7）"/>
    <w:basedOn w:val="11"/>
    <w:next w:val="22"/>
    <w:link w:val="0"/>
    <w:uiPriority w:val="0"/>
    <w:tblPr>
      <w:tblStyleRowBandSize w:val="1"/>
      <w:tblStyleColBandSize w:val="1"/>
      <w:tblInd w:w="0" w:type="dxa"/>
      <w:tblBorders>
        <w:top w:val="single" w:color="A9D08E" w:themeColor="accent6" w:themeTint="99" w:sz="8" w:space="0"/>
        <w:left w:val="single" w:color="A9D08E" w:themeColor="accent6" w:themeTint="99" w:sz="8" w:space="0"/>
        <w:bottom w:val="single" w:color="A9D08E" w:themeColor="accent6" w:themeTint="99" w:sz="12" w:space="0"/>
        <w:right w:val="single" w:color="A9D08E" w:themeColor="accent6" w:themeTint="99" w:sz="12" w:space="0"/>
        <w:insideH w:val="single" w:color="A9D08E" w:themeColor="accent6"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6" w:themeFillTint="33" w:themeFillShade="FF"/>
      </w:tcPr>
    </w:tblStylePr>
    <w:tblStylePr w:type="band2Vert">
      <w:tblPr/>
      <w:trPr/>
      <w:tcPr>
        <w:shd w:val="clear" w:color="auto" w:themeFill="accent6" w:themeFillTint="33" w:themeFillShade="FF"/>
      </w:tcPr>
    </w:tblStylePr>
    <w:tblStylePr w:type="lastCol">
      <w:rPr>
        <w:b w:val="1"/>
        <w:color w:val="548235" w:themeColor="accent6" w:themeShade="BF"/>
      </w:rPr>
      <w:tblPr/>
      <w:trPr/>
      <w:tcPr/>
    </w:tblStylePr>
    <w:tblStylePr w:type="firstCol">
      <w:rPr>
        <w:b w:val="1"/>
        <w:color w:val="548235" w:themeColor="accent6" w:themeShade="BF"/>
      </w:rPr>
      <w:tblPr/>
      <w:trPr/>
      <w:tcPr>
        <w:tcBorders>
          <w:left w:val="single" w:color="A9D08E" w:themeColor="accent6" w:themeTint="99" w:sz="8" w:space="0"/>
        </w:tcBorders>
      </w:tcPr>
    </w:tblStylePr>
    <w:tblStylePr w:type="lastRow">
      <w:rPr>
        <w:b w:val="1"/>
        <w:color w:val="548235" w:themeColor="accent6" w:themeShade="BF"/>
      </w:rPr>
      <w:tblPr/>
      <w:trPr/>
      <w:tcPr>
        <w:tcBorders>
          <w:bottom w:val="single" w:color="A9D08E" w:themeColor="accent6" w:themeTint="99" w:sz="12" w:space="0"/>
        </w:tcBorders>
        <w:shd w:val="clear" w:color="auto" w:themeFill="accent6" w:themeFillTint="33" w:themeFillShade="FF"/>
      </w:tcPr>
    </w:tblStylePr>
    <w:tblStylePr w:type="firstRow">
      <w:rPr>
        <w:b w:val="1"/>
        <w:color w:val="548235" w:themeColor="accent6" w:themeShade="BF"/>
      </w:rPr>
      <w:tblPr/>
      <w:trPr/>
      <w:tcPr>
        <w:tcBorders>
          <w:top w:val="single" w:color="A9D08E" w:themeColor="accent6" w:themeTint="99" w:sz="8" w:space="0"/>
          <w:bottom w:val="single" w:color="A9D08E" w:themeColor="accent6" w:themeTint="99" w:sz="8" w:space="0"/>
          <w:left w:val="single" w:color="A9D08E" w:themeColor="accent6" w:themeTint="99" w:sz="8" w:space="0"/>
        </w:tcBorders>
        <w:shd w:val="clear" w:color="auto" w:themeFill="accent6" w:themeFillTint="33" w:themeFillShade="FF"/>
      </w:tcPr>
    </w:tblStylePr>
  </w:style>
  <w:style w:type="table" w:styleId="23" w:customStyle="1">
    <w:name w:val="テーマの表  1（シンプル1-1）"/>
    <w:basedOn w:val="11"/>
    <w:next w:val="2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916</TotalTime>
  <Pages>36</Pages>
  <Words>154</Words>
  <Characters>18511</Characters>
  <Application>JUST Note</Application>
  <Lines>2540</Lines>
  <Paragraphs>723</Paragraphs>
  <Company>箕面市役所</Company>
  <CharactersWithSpaces>18769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　清(手動)</dc:creator>
  <cp:lastModifiedBy>髙橋　幸子(手動)</cp:lastModifiedBy>
  <cp:lastPrinted>2021-11-27T23:50:20Z</cp:lastPrinted>
  <dcterms:created xsi:type="dcterms:W3CDTF">2021-10-20T09:02:00Z</dcterms:created>
  <dcterms:modified xsi:type="dcterms:W3CDTF">2021-11-29T01:49:41Z</dcterms:modified>
  <cp:revision>37</cp:revision>
</cp:coreProperties>
</file>