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snapToGrid w:val="0"/>
        <w:ind w:left="1962" w:leftChars="133" w:hanging="1683" w:hangingChars="601"/>
        <w:rPr>
          <w:rFonts w:hint="eastAsia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箕面船場阪大前駅エントランス他整備工事（その１）（エントランス）及び箕面船場阪大前駅エントランス他整備工事（その２）（駅舎駐輪場シャフト）</w:t>
      </w:r>
    </w:p>
    <w:p>
      <w:pPr>
        <w:pStyle w:val="0"/>
        <w:ind w:left="0" w:leftChars="0"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ind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ind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２　入札時に積算内訳書の提出がない場合は、無効とし、失格扱いとする。</w: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840" w:firstLineChars="40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95"/>
        <w:gridCol w:w="840"/>
        <w:gridCol w:w="840"/>
        <w:gridCol w:w="2310"/>
        <w:gridCol w:w="885"/>
      </w:tblGrid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　直接工事費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="305" w:leftChars="145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箕面船場阪大駅前エントランス整備工事（その１）（エントランス）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19" w:firstLineChars="145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Ⅰ　建築工事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6" w:firstLineChars="13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Ⅱ　電気設備工事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6" w:firstLineChars="13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Ⅲ　機械設備工事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6" w:firstLineChars="13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Ⅳ　昇降設備工事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5" w:firstLineChars="145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="305" w:leftChars="145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箕面船場阪大駅前エントランス整備工事（その２）（駅舎駐輪場シャフト）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6" w:firstLineChars="13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Ⅰ　建築工事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6" w:firstLineChars="13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ind w:leftChars="0" w:firstLine="306" w:firstLineChars="13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直接工事費　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19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firstLine="840" w:firstLineChars="40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0</Words>
  <Characters>244</Characters>
  <Application>JUST Note</Application>
  <Lines>72</Lines>
  <Paragraphs>37</Paragraphs>
  <Company>箕面市役所</Company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松田　佐季(手動)</cp:lastModifiedBy>
  <cp:lastPrinted>2021-03-22T00:40:47Z</cp:lastPrinted>
  <dcterms:created xsi:type="dcterms:W3CDTF">2019-12-10T08:45:00Z</dcterms:created>
  <dcterms:modified xsi:type="dcterms:W3CDTF">2021-03-22T00:40:26Z</dcterms:modified>
  <cp:revision>10</cp:revision>
</cp:coreProperties>
</file>