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r>
        <w:rPr>
          <w:rFonts w:hint="eastAsia" w:ascii="HGｺﾞｼｯｸM" w:hAnsi="HGｺﾞｼｯｸM" w:eastAsia="HGｺﾞｼｯｸM"/>
        </w:rPr>
        <w:t>別記様式（第９条関係）</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bookmarkStart w:id="0" w:name="_GoBack"/>
            <w:bookmarkEnd w:id="0"/>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2</Pages>
  <Words>0</Words>
  <Characters>534</Characters>
  <Application>JUST Note</Application>
  <Lines>371</Lines>
  <Paragraphs>35</Paragraphs>
  <Company>財政局財政部用度課</Company>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森川　祥充(手動)</cp:lastModifiedBy>
  <cp:lastPrinted>2021-01-06T02:12:00Z</cp:lastPrinted>
  <dcterms:created xsi:type="dcterms:W3CDTF">2021-10-05T06:01:00Z</dcterms:created>
  <dcterms:modified xsi:type="dcterms:W3CDTF">2022-01-18T00:03:50Z</dcterms:modified>
  <cp:revision>71</cp:revision>
</cp:coreProperties>
</file>