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令和５年度（</w:t>
      </w:r>
      <w:r>
        <w:rPr>
          <w:rFonts w:hint="eastAsia" w:asciiTheme="minorEastAsia" w:hAnsiTheme="minorEastAsia"/>
          <w:sz w:val="36"/>
          <w:u w:val="thick" w:color="auto"/>
        </w:rPr>
        <w:t>2023</w:t>
      </w:r>
      <w:r>
        <w:rPr>
          <w:rFonts w:hint="eastAsia" w:asciiTheme="minorEastAsia" w:hAnsiTheme="minorEastAsia"/>
          <w:sz w:val="36"/>
          <w:u w:val="thick" w:color="auto"/>
        </w:rPr>
        <w:t>年度）児童・生徒心臓検診（一次心電図検査）委託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令和５年（２０２３年）３月１３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箕面市教育委員会教育長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133</Characters>
  <Application>JUST Note</Application>
  <Lines>33</Lines>
  <Paragraphs>21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松田　佐季(手動)</cp:lastModifiedBy>
  <cp:lastPrinted>2019-09-24T05:24:00Z</cp:lastPrinted>
  <dcterms:created xsi:type="dcterms:W3CDTF">2022-02-26T04:36:00Z</dcterms:created>
  <dcterms:modified xsi:type="dcterms:W3CDTF">2022-12-21T01:08:29Z</dcterms:modified>
  <cp:revision>5</cp:revision>
</cp:coreProperties>
</file>