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830" w:firstLineChars="2300"/>
        <w:jc w:val="right"/>
        <w:rPr>
          <w:rFonts w:hint="eastAsia" w:eastAsia="ＭＳ Ｐ明朝"/>
        </w:rPr>
      </w:pPr>
      <w:r>
        <w:rPr>
          <w:rFonts w:hint="eastAsia" w:eastAsia="ＭＳ Ｐ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635000</wp:posOffset>
                </wp:positionV>
                <wp:extent cx="5784215" cy="3175"/>
                <wp:effectExtent l="19685" t="21590" r="29210" b="222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784215" cy="3175"/>
                        </a:xfrm>
                        <a:prstGeom prst="line">
                          <a:avLst/>
                        </a:prstGeom>
                        <a:noFill/>
                        <a:ln w="4318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2;mso-position-horizontal-relative:text;position:absolute;mso-position-vertical-relative:text;" o:spid="_x0000_s1026" o:allowincell="t" o:allowoverlap="t" filled="f" stroked="t" strokecolor="#000000" strokeweight="3.4pt" o:spt="20" from="-4.5pt,50pt" to="450.95000000000005pt,50.2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3707765</wp:posOffset>
            </wp:positionH>
            <wp:positionV relativeFrom="paragraph">
              <wp:posOffset>25400</wp:posOffset>
            </wp:positionV>
            <wp:extent cx="2019300" cy="60960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firstLine="4830" w:firstLineChars="2300"/>
        <w:jc w:val="right"/>
        <w:rPr>
          <w:rFonts w:hint="eastAsia" w:eastAsia="ＭＳ Ｐ明朝"/>
        </w:rPr>
      </w:pPr>
    </w:p>
    <w:p>
      <w:pPr>
        <w:pStyle w:val="0"/>
        <w:ind w:firstLine="4830" w:firstLineChars="2300"/>
        <w:jc w:val="right"/>
        <w:rPr>
          <w:rFonts w:hint="eastAsia" w:eastAsia="ＭＳ Ｐ明朝"/>
        </w:rPr>
      </w:pPr>
    </w:p>
    <w:p>
      <w:pPr>
        <w:pStyle w:val="0"/>
        <w:ind w:firstLine="4830" w:firstLineChars="2300"/>
        <w:jc w:val="right"/>
        <w:rPr>
          <w:rFonts w:hint="eastAsia" w:ascii="HG創英角ｺﾞｼｯｸUB" w:hAnsi="HG創英角ｺﾞｼｯｸUB" w:eastAsia="HG創英角ｺﾞｼｯｸUB"/>
          <w:b w:val="0"/>
        </w:rPr>
      </w:pPr>
    </w:p>
    <w:p>
      <w:pPr>
        <w:pStyle w:val="0"/>
        <w:spacing w:line="240" w:lineRule="exact"/>
        <w:jc w:val="center"/>
        <w:rPr>
          <w:rFonts w:hint="eastAsia" w:ascii="HGP創英角ｺﾞｼｯｸUB" w:hAnsi="HGP創英角ｺﾞｼｯｸUB" w:eastAsia="ＭＳ Ｐ明朝"/>
        </w:rPr>
      </w:pPr>
      <w:r>
        <w:rPr>
          <w:rFonts w:hint="eastAsia" w:ascii="HG創英角ｺﾞｼｯｸUB" w:hAnsi="HG創英角ｺﾞｼｯｸUB" w:eastAsia="HG創英角ｺﾞｼｯｸUB"/>
          <w:b w:val="0"/>
          <w:sz w:val="24"/>
        </w:rPr>
        <w:t>箕面市立箕面文化・交流センター北館・南館指定管理者募集に関する様式集</w:t>
      </w:r>
    </w:p>
    <w:p>
      <w:pPr>
        <w:pStyle w:val="0"/>
        <w:spacing w:line="240" w:lineRule="exact"/>
        <w:jc w:val="center"/>
        <w:rPr>
          <w:rFonts w:hint="eastAsia" w:ascii="HGP創英角ｺﾞｼｯｸUB" w:hAnsi="HGP創英角ｺﾞｼｯｸUB" w:eastAsia="ＭＳ Ｐ明朝"/>
        </w:rPr>
      </w:pPr>
    </w:p>
    <w:tbl>
      <w:tblPr>
        <w:tblStyle w:val="11"/>
        <w:tblpPr w:leftFromText="0" w:rightFromText="0" w:topFromText="0" w:bottomFromText="0" w:vertAnchor="text" w:horzAnchor="margin" w:tblpX="199" w:tblpY="345"/>
        <w:tblOverlap w:val="never"/>
        <w:tblW w:w="9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40"/>
        <w:gridCol w:w="1993"/>
        <w:gridCol w:w="6467"/>
      </w:tblGrid>
      <w:tr>
        <w:trPr>
          <w:trHeight w:val="4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 w:ascii="HG創英角ｺﾞｼｯｸUB" w:hAnsi="HG創英角ｺﾞｼｯｸUB" w:eastAsia="HG創英角ｺﾞｼｯｸUB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HG創英角ｺﾞｼｯｸUB" w:hAnsi="HG創英角ｺﾞｼｯｸUB" w:eastAsia="HG創英角ｺﾞｼｯｸUB"/>
                <w:sz w:val="24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様式番号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HG創英角ｺﾞｼｯｸUB" w:hAnsi="HG創英角ｺﾞｼｯｸUB" w:eastAsia="HG創英角ｺﾞｼｯｸUB"/>
                <w:sz w:val="24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様式名</w:t>
            </w:r>
          </w:p>
        </w:tc>
      </w:tr>
      <w:tr>
        <w:trPr>
          <w:trHeight w:val="35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firstLine="3920" w:firstLineChars="140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8"/>
              </w:rPr>
              <w:t>応募用様式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様式１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/>
                <w:spacing w:val="1"/>
                <w:w w:val="92"/>
                <w:sz w:val="24"/>
                <w:fitText w:val="6240" w:id="1"/>
              </w:rPr>
              <w:t>箕面市立箕面文化・交流センター北館・南館指定管理者申込</w:t>
            </w:r>
            <w:r>
              <w:rPr>
                <w:rFonts w:hint="eastAsia"/>
                <w:spacing w:val="21"/>
                <w:w w:val="92"/>
                <w:sz w:val="24"/>
                <w:fitText w:val="6240" w:id="1"/>
              </w:rPr>
              <w:t>書</w:t>
            </w:r>
          </w:p>
        </w:tc>
      </w:tr>
      <w:tr>
        <w:trPr>
          <w:trHeight w:val="35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8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様式２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団体概要１</w:t>
            </w:r>
          </w:p>
        </w:tc>
      </w:tr>
      <w:tr>
        <w:trPr>
          <w:trHeight w:val="34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団体概要２</w:t>
            </w:r>
          </w:p>
        </w:tc>
      </w:tr>
      <w:tr>
        <w:trPr>
          <w:trHeight w:val="34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様式４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共同事業体協定書兼委任状</w:t>
            </w:r>
          </w:p>
        </w:tc>
      </w:tr>
      <w:tr>
        <w:trPr>
          <w:trHeight w:val="34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様式５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誓約書</w:t>
            </w:r>
          </w:p>
        </w:tc>
      </w:tr>
      <w:tr>
        <w:trPr>
          <w:trHeight w:val="33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様式６－１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指定管理料提案書及び収支計画書</w:t>
            </w:r>
          </w:p>
        </w:tc>
      </w:tr>
      <w:tr>
        <w:trPr>
          <w:trHeight w:val="32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様式６－２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収支計画書（収入の部　内訳）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様式６－３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収支計画書（支出の部　内訳）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様式６－４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想定事業費超過理由書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様式７－１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自己資本比率の状況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様式７－２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流動比率の状況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様式７－３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過去３ヶ年の決算状況（赤字の有無）</w:t>
            </w:r>
          </w:p>
        </w:tc>
      </w:tr>
      <w:tr>
        <w:trPr>
          <w:trHeight w:val="33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様式７－４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キャッシュフローの状況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様式７－５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固定長期適合率の状況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様式７－６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有利子負債月商比率の状況</w:t>
            </w:r>
          </w:p>
        </w:tc>
      </w:tr>
      <w:tr>
        <w:trPr>
          <w:trHeight w:val="3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様式７－７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売上高経常利益率の状況</w:t>
            </w:r>
          </w:p>
        </w:tc>
      </w:tr>
      <w:tr>
        <w:trPr>
          <w:trHeight w:val="30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様式８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団体の所在地</w:t>
            </w:r>
          </w:p>
        </w:tc>
      </w:tr>
      <w:tr>
        <w:trPr>
          <w:trHeight w:val="11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様式９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市との災害時応援協定等の締結による地域貢献の実績</w:t>
            </w:r>
          </w:p>
        </w:tc>
      </w:tr>
      <w:tr>
        <w:trPr>
          <w:trHeight w:val="28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様式１０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団体の同種・類似業務実績の状況（過去５年間）</w:t>
            </w:r>
          </w:p>
        </w:tc>
      </w:tr>
      <w:tr>
        <w:trPr>
          <w:trHeight w:val="27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配置予定従事者の資格、業務実績、専門知識等</w:t>
            </w:r>
          </w:p>
        </w:tc>
      </w:tr>
      <w:tr>
        <w:trPr>
          <w:trHeight w:val="26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研修体制</w:t>
            </w:r>
          </w:p>
        </w:tc>
      </w:tr>
      <w:tr>
        <w:trPr>
          <w:trHeight w:val="25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適正な履行確保のための業務体制</w:t>
            </w:r>
          </w:p>
        </w:tc>
      </w:tr>
      <w:tr>
        <w:trPr>
          <w:trHeight w:val="25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様式１４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品質保証への取組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、苦情処理体制の整備状況</w:t>
            </w:r>
          </w:p>
        </w:tc>
      </w:tr>
      <w:tr>
        <w:trPr>
          <w:trHeight w:val="24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様式１５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障害者雇用率</w:t>
            </w:r>
          </w:p>
        </w:tc>
      </w:tr>
      <w:tr>
        <w:trPr>
          <w:trHeight w:val="24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様式１６－１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育児・介護の休暇休業制度への取組</w:t>
            </w:r>
          </w:p>
        </w:tc>
      </w:tr>
      <w:tr>
        <w:trPr>
          <w:trHeight w:val="23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様式１６－２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/>
                <w:sz w:val="24"/>
              </w:rPr>
              <w:t>女性の採用・職域拡大への取組</w:t>
            </w:r>
          </w:p>
        </w:tc>
      </w:tr>
      <w:tr>
        <w:trPr>
          <w:trHeight w:val="4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様式１７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/>
                <w:sz w:val="24"/>
              </w:rPr>
              <w:t>地域活動への取組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720" w:hanging="720" w:hangingChars="30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様式１８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災害時等における業務体制</w:t>
            </w:r>
          </w:p>
        </w:tc>
      </w:tr>
      <w:tr>
        <w:trPr>
          <w:trHeight w:val="297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様式１９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指定管理期間終了時の引継ぎ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様式２０－１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人権問題への取組</w:t>
            </w:r>
          </w:p>
        </w:tc>
      </w:tr>
      <w:tr>
        <w:trPr>
          <w:trHeight w:val="11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様式２０－２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セクシュアル・ハラスメント防止への取組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様式２０－３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パワー・ハラスメント防止への取組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個人情報保護に関する取組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地域経済への波及効果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様式２３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特別提案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様式２４－１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北館駐車場の運用を含めた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  <w:highlight w:val="none"/>
              </w:rPr>
              <w:t>北館のアクセス向上について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様式２４－２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北館２階事務所１の賃料の提案を含めた効果的な活用</w:t>
            </w:r>
          </w:p>
        </w:tc>
      </w:tr>
      <w:tr>
        <w:trPr>
          <w:trHeight w:val="49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 w:ascii="HG創英角ｺﾞｼｯｸUB" w:hAnsi="HG創英角ｺﾞｼｯｸUB" w:eastAsia="HG創英角ｺﾞｼｯｸUB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HG創英角ｺﾞｼｯｸUB" w:hAnsi="HG創英角ｺﾞｼｯｸUB" w:eastAsia="HG創英角ｺﾞｼｯｸUB"/>
                <w:sz w:val="24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様式番号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HG創英角ｺﾞｼｯｸUB" w:hAnsi="HG創英角ｺﾞｼｯｸUB" w:eastAsia="HG創英角ｺﾞｼｯｸUB"/>
                <w:sz w:val="24"/>
              </w:rPr>
            </w:pPr>
            <w:r>
              <w:rPr>
                <w:rFonts w:hint="eastAsia" w:ascii="HG創英角ｺﾞｼｯｸUB" w:hAnsi="HG創英角ｺﾞｼｯｸUB" w:eastAsia="HG創英角ｺﾞｼｯｸUB"/>
                <w:sz w:val="24"/>
              </w:rPr>
              <w:t>様式名</w:t>
            </w:r>
          </w:p>
        </w:tc>
      </w:tr>
      <w:tr>
        <w:trPr>
          <w:trHeight w:val="329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8"/>
              </w:rPr>
              <w:t>応募用様式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様式２４－３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</w:rPr>
              <w:t>（仮称）新みのおサンプラザ１号館との連携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様式２４－４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</w:rPr>
              <w:t>施設の利用率向上のための取組み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様式２４－５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32"/>
                <w:highlight w:val="none"/>
              </w:rPr>
            </w:pPr>
            <w:r>
              <w:rPr>
                <w:rFonts w:hint="eastAsia"/>
                <w:sz w:val="24"/>
              </w:rPr>
              <w:t>南館元園庭及びプールの活用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様式２４－６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</w:rPr>
              <w:t>指定管理期間中の事業計画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様式２４－７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利用者の平等かつ公平な利用の確保</w:t>
            </w:r>
          </w:p>
        </w:tc>
      </w:tr>
      <w:tr>
        <w:trPr>
          <w:trHeight w:val="28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様式２４－８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施設の適正かつ安定的管理方法</w:t>
            </w:r>
          </w:p>
        </w:tc>
      </w:tr>
      <w:tr>
        <w:trPr>
          <w:trHeight w:val="589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その他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様式Ⅰ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箕面市立箕面文化・交流センター北館・南館指定管理者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応募説明会及び施設見学会参加申込書</w:t>
            </w:r>
          </w:p>
        </w:tc>
      </w:tr>
      <w:tr>
        <w:trPr>
          <w:trHeight w:val="472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様式Ⅱ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質問書（箕面市立箕面文化・交流センター北館・南館指定管理者公募）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/>
          <w:sz w:val="24"/>
        </w:rPr>
      </w:pPr>
    </w:p>
    <w:sectPr>
      <w:headerReference r:id="rId5" w:type="default"/>
      <w:pgSz w:w="11906" w:h="16838"/>
      <w:pgMar w:top="680" w:right="1417" w:bottom="680" w:left="1417" w:header="0" w:footer="992" w:gutter="0"/>
      <w:cols w:space="720"/>
      <w:textDirection w:val="lrTb"/>
      <w:docGrid w:type="linesAndChar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efaultTabStop w:val="840"/>
  <w:defaultTableStyle w:val="24"/>
  <w:drawingGridHorizontalSpacing w:val="21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0"/>
    <w:uiPriority w:val="0"/>
    <w:semiHidden/>
    <w:pPr>
      <w:jc w:val="left"/>
    </w:pPr>
  </w:style>
  <w:style w:type="paragraph" w:styleId="17">
    <w:name w:val="annotation subject"/>
    <w:basedOn w:val="16"/>
    <w:next w:val="16"/>
    <w:link w:val="0"/>
    <w:uiPriority w:val="0"/>
    <w:semiHidden/>
    <w:rPr>
      <w:b w:val="1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1185</TotalTime>
  <Pages>2</Pages>
  <Words>0</Words>
  <Characters>912</Characters>
  <Application>JUST Note</Application>
  <Lines>401</Lines>
  <Paragraphs>97</Paragraphs>
  <Company>箕面市役所</Company>
  <CharactersWithSpaces>914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箕面市役所</dc:creator>
  <cp:lastModifiedBy>濵口　悟(手動)</cp:lastModifiedBy>
  <cp:lastPrinted>2023-07-24T08:09:06Z</cp:lastPrinted>
  <dcterms:created xsi:type="dcterms:W3CDTF">2014-07-15T05:04:00Z</dcterms:created>
  <dcterms:modified xsi:type="dcterms:W3CDTF">2026-07-02T06:48:44Z</dcterms:modified>
  <cp:revision>24</cp:revision>
</cp:coreProperties>
</file>