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（様式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７－７）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28"/>
        </w:rPr>
        <w:t>経常利益の状況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bookmarkStart w:id="0" w:name="_GoBack"/>
      <w:bookmarkEnd w:id="0"/>
    </w:p>
    <w:tbl>
      <w:tblPr>
        <w:tblStyle w:val="17"/>
        <w:tblpPr w:leftFromText="142" w:rightFromText="142" w:topFromText="0" w:bottomFromText="0" w:vertAnchor="text" w:horzAnchor="text" w:tblpX="41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3370"/>
        <w:gridCol w:w="2310"/>
        <w:gridCol w:w="2310"/>
        <w:gridCol w:w="2310"/>
        <w:gridCol w:w="2310"/>
      </w:tblGrid>
      <w:tr>
        <w:trPr>
          <w:trHeight w:val="556" w:hRule="atLeast"/>
        </w:trPr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平成４</w:t>
            </w:r>
            <w:r>
              <w:rPr>
                <w:rFonts w:hint="eastAsia" w:ascii="ＭＳ 明朝" w:hAnsi="ＭＳ 明朝" w:eastAsia="ＭＳ 明朝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A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令和５</w:t>
            </w:r>
            <w:r>
              <w:rPr>
                <w:rFonts w:hint="eastAsia" w:ascii="ＭＳ 明朝" w:hAnsi="ＭＳ 明朝" w:eastAsia="ＭＳ 明朝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B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令和６年</w:t>
            </w:r>
            <w:r>
              <w:rPr>
                <w:rFonts w:hint="eastAsia" w:ascii="ＭＳ 明朝" w:hAnsi="ＭＳ 明朝" w:eastAsia="ＭＳ 明朝"/>
                <w:sz w:val="24"/>
              </w:rPr>
              <w:t>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C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令和７</w:t>
            </w:r>
            <w:r>
              <w:rPr>
                <w:rFonts w:hint="eastAsia" w:ascii="ＭＳ 明朝" w:hAnsi="ＭＳ 明朝" w:eastAsia="ＭＳ 明朝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D</w:t>
            </w:r>
          </w:p>
        </w:tc>
      </w:tr>
      <w:tr>
        <w:trPr>
          <w:trHeight w:val="567" w:hRule="atLeast"/>
        </w:trPr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経常利益（円）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33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経常利益伸び率（％）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lightGray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B-A)</w:t>
            </w:r>
            <w:r>
              <w:rPr>
                <w:rFonts w:hint="eastAsia" w:ascii="ＭＳ 明朝" w:hAnsi="ＭＳ 明朝" w:eastAsia="ＭＳ 明朝"/>
              </w:rPr>
              <w:t>÷</w:t>
            </w:r>
            <w:r>
              <w:rPr>
                <w:rFonts w:hint="eastAsia" w:ascii="ＭＳ 明朝" w:hAnsi="ＭＳ 明朝" w:eastAsia="ＭＳ 明朝"/>
              </w:rPr>
              <w:t>A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C-B)</w:t>
            </w:r>
            <w:r>
              <w:rPr>
                <w:rFonts w:hint="eastAsia" w:ascii="ＭＳ 明朝" w:hAnsi="ＭＳ 明朝" w:eastAsia="ＭＳ 明朝"/>
              </w:rPr>
              <w:t>÷</w:t>
            </w:r>
            <w:r>
              <w:rPr>
                <w:rFonts w:hint="eastAsia" w:ascii="ＭＳ 明朝" w:hAnsi="ＭＳ 明朝" w:eastAsia="ＭＳ 明朝"/>
              </w:rPr>
              <w:t>B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D-C)</w:t>
            </w:r>
            <w:r>
              <w:rPr>
                <w:rFonts w:hint="eastAsia" w:ascii="ＭＳ 明朝" w:hAnsi="ＭＳ 明朝" w:eastAsia="ＭＳ 明朝"/>
              </w:rPr>
              <w:t>÷</w:t>
            </w:r>
            <w:r>
              <w:rPr>
                <w:rFonts w:hint="eastAsia" w:ascii="ＭＳ 明朝" w:hAnsi="ＭＳ 明朝" w:eastAsia="ＭＳ 明朝"/>
              </w:rPr>
              <w:t>C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>100</w:t>
            </w:r>
          </w:p>
        </w:tc>
      </w:tr>
      <w:tr>
        <w:trPr>
          <w:trHeight w:val="567" w:hRule="atLeast"/>
        </w:trPr>
        <w:tc>
          <w:tcPr>
            <w:tcW w:w="3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  <w:highlight w:val="lightGray"/>
              </w:rPr>
            </w:pPr>
          </w:p>
        </w:tc>
        <w:tc>
          <w:tcPr>
            <w:tcW w:w="231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3840" w:hanging="3840" w:hangingChars="1600"/>
        <w:jc w:val="righ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</w:t>
      </w:r>
    </w:p>
    <w:p>
      <w:pPr>
        <w:pStyle w:val="0"/>
        <w:ind w:left="3840" w:hanging="3840" w:hangingChars="1600"/>
        <w:jc w:val="righ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※経常利益伸び率は、小数点以下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</w:t>
      </w:r>
      <w:r>
        <w:rPr>
          <w:rFonts w:hint="eastAsia" w:ascii="ＭＳ 明朝" w:hAnsi="ＭＳ 明朝" w:eastAsia="ＭＳ 明朝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sz w:val="24"/>
          <w:u w:val="none" w:color="auto"/>
        </w:rPr>
        <w:t>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※経常利益伸び率（％）＝（当期経常利益－前期経常利益）÷前期経常利益×</w:t>
      </w:r>
      <w:r>
        <w:rPr>
          <w:rFonts w:hint="eastAsia" w:ascii="ＭＳ 明朝" w:hAnsi="ＭＳ 明朝" w:eastAsia="ＭＳ 明朝"/>
          <w:sz w:val="24"/>
          <w:u w:val="none" w:color="auto"/>
        </w:rPr>
        <w:t>100</w:t>
      </w:r>
      <w:r>
        <w:rPr>
          <w:rFonts w:hint="eastAsia" w:ascii="ＭＳ 明朝" w:hAnsi="ＭＳ 明朝" w:eastAsia="ＭＳ 明朝"/>
          <w:sz w:val="24"/>
          <w:u w:val="none" w:color="auto"/>
        </w:rPr>
        <w:t>で計算すること。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※連結親会社の場合は、連結財務諸表を、連結子会社の場合は、単体の財務諸表の数値を用いること。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1</Pages>
  <Words>16</Words>
  <Characters>278</Characters>
  <Application>JUST Note</Application>
  <Lines>53</Lines>
  <Paragraphs>22</Paragraphs>
  <Company>箕面市役所</Company>
  <CharactersWithSpaces>328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廣瀬　武(手動)</cp:lastModifiedBy>
  <dcterms:created xsi:type="dcterms:W3CDTF">2020-03-04T05:54:00Z</dcterms:created>
  <dcterms:modified xsi:type="dcterms:W3CDTF">2026-07-02T01:03:52Z</dcterms:modified>
  <cp:revision>2</cp:revision>
</cp:coreProperties>
</file>