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19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【提案書】再生品の使用状況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" w:tblpY="225"/>
        <w:tblW w:w="0" w:type="auto"/>
        <w:tblLayout w:type="fixed"/>
        <w:tblLook w:firstRow="1" w:lastRow="0" w:firstColumn="1" w:lastColumn="0" w:noHBand="0" w:noVBand="1" w:val="04A0"/>
      </w:tblPr>
      <w:tblGrid>
        <w:gridCol w:w="8605"/>
        <w:gridCol w:w="3990"/>
      </w:tblGrid>
      <w:tr>
        <w:trPr>
          <w:trHeight w:val="2986" w:hRule="atLeast"/>
        </w:trPr>
        <w:tc>
          <w:tcPr>
            <w:tcW w:w="860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当該業務に使用する資機材における再生品の使用割合</w:t>
            </w:r>
          </w:p>
        </w:tc>
        <w:tc>
          <w:tcPr>
            <w:tcW w:w="3990" w:type="dxa"/>
            <w:shd w:val="clear" w:color="auto" w:fill="FFFFBE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％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※当該業務に使用する資機材とは、仕様書</w:t>
      </w:r>
      <w:r>
        <w:rPr>
          <w:rFonts w:hint="eastAsia" w:ascii="ＭＳ 明朝" w:hAnsi="ＭＳ 明朝" w:eastAsia="ＭＳ 明朝"/>
          <w:sz w:val="21"/>
          <w:u w:val="none" w:color="auto"/>
        </w:rPr>
        <w:t>13(3)</w:t>
      </w:r>
      <w:r>
        <w:rPr>
          <w:rFonts w:hint="eastAsia" w:ascii="ＭＳ 明朝" w:hAnsi="ＭＳ 明朝" w:eastAsia="ＭＳ 明朝"/>
          <w:sz w:val="21"/>
          <w:u w:val="none" w:color="auto"/>
        </w:rPr>
        <w:t>①及び②のことである。</w:t>
      </w:r>
      <w:bookmarkStart w:id="0" w:name="_GoBack"/>
      <w:bookmarkEnd w:id="0"/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※使用割合（％）＝当該業務で使用する資機材に占める再生品</w:t>
      </w:r>
      <w:r>
        <w:rPr>
          <w:rFonts w:hint="eastAsia" w:ascii="ＭＳ 明朝" w:hAnsi="ＭＳ 明朝" w:eastAsia="ＭＳ 明朝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sz w:val="21"/>
          <w:u w:val="none" w:color="auto"/>
        </w:rPr>
        <w:t>品数）の割合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※対象となる再生品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　大阪府認定リサイクル製品、エコマーク商品、再生紙、グリーンマーク商品等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205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2025-03-12T05:02:37Z</dcterms:modified>
  <cp:revision>1</cp:revision>
</cp:coreProperties>
</file>