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12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※同種・類似業務での受託実績（受注内容及び受注金額）を評価する。評価対象は、地球温暖化対策の推進に関する法律（以下、「温対法」と呼ぶ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）の令和３年改正以降、令和６年度中までの受託実績とする。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※「同種業務」とは、地方公共団体実行計画（区域施策編）策定業務とする。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※「同規模業務」とは、受託時点で人口</w:t>
      </w:r>
      <w:r>
        <w:rPr>
          <w:rFonts w:hint="eastAsia" w:ascii="ＭＳ 明朝" w:hAnsi="ＭＳ 明朝" w:eastAsia="ＭＳ 明朝"/>
          <w:sz w:val="24"/>
          <w:u w:val="none" w:color="auto"/>
        </w:rPr>
        <w:t>14</w:t>
      </w:r>
      <w:r>
        <w:rPr>
          <w:rFonts w:hint="eastAsia" w:ascii="ＭＳ 明朝" w:hAnsi="ＭＳ 明朝" w:eastAsia="ＭＳ 明朝"/>
          <w:sz w:val="24"/>
          <w:u w:val="none" w:color="auto"/>
        </w:rPr>
        <w:t>万人以上かつ中核市未満の市区町村からの受託業務とする。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※「類似業務」とは、地方公共団体の環境基本計画、実行計画（事務事業編）をはじめとする環境に関する基本的な計画策定業務とする。</w:t>
      </w:r>
    </w:p>
    <w:sectPr>
      <w:pgSz w:w="16838" w:h="11906" w:orient="landscape"/>
      <w:pgMar w:top="1701" w:right="1985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2025-03-11T02:04:57Z</dcterms:modified>
  <cp:revision>3</cp:revision>
</cp:coreProperties>
</file>