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資金計画書（土石の堆積に関する工事）</w:t>
      </w:r>
    </w:p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収支計画</w:t>
      </w:r>
    </w:p>
    <w:p>
      <w:pPr>
        <w:pStyle w:val="0"/>
        <w:spacing w:line="220" w:lineRule="exact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36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09"/>
        <w:gridCol w:w="4253"/>
        <w:gridCol w:w="4536"/>
      </w:tblGrid>
      <w:tr>
        <w:trPr>
          <w:trHeight w:val="340" w:hRule="atLeast"/>
        </w:trPr>
        <w:tc>
          <w:tcPr>
            <w:tcW w:w="49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134" w:hRule="atLeast"/>
        </w:trPr>
        <w:tc>
          <w:tcPr>
            <w:tcW w:w="709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借入金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処分収入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09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年度別資金計画書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（単位　千円）</w:t>
      </w:r>
    </w:p>
    <w:tbl>
      <w:tblPr>
        <w:tblStyle w:val="36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>
        <w:trPr>
          <w:trHeight w:val="730" w:hRule="atLeast"/>
        </w:trPr>
        <w:tc>
          <w:tcPr>
            <w:tcW w:w="25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1134" w:hRule="atLeast"/>
        </w:trPr>
        <w:tc>
          <w:tcPr>
            <w:tcW w:w="584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支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出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4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443" w:hRule="atLeast"/>
        </w:trPr>
        <w:tc>
          <w:tcPr>
            <w:tcW w:w="2505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134" w:bottom="964" w:left="1134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20" w:lineRule="exact"/>
      <w:ind w:left="220" w:hanging="220" w:hangingChars="100"/>
      <w:rPr>
        <w:rFonts w:hint="default"/>
        <w:sz w:val="22"/>
      </w:rPr>
    </w:pPr>
    <w:r>
      <w:rPr>
        <w:rFonts w:hint="eastAsia"/>
        <w:sz w:val="22"/>
      </w:rPr>
      <w:t>様式第五</w:t>
    </w:r>
  </w:p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175</Characters>
  <Application>JUST Note</Application>
  <Lines>118</Lines>
  <Paragraphs>49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2024-02-16T03:05:00Z</cp:lastPrinted>
  <dcterms:created xsi:type="dcterms:W3CDTF">2023-12-13T02:52:00Z</dcterms:created>
  <dcterms:modified xsi:type="dcterms:W3CDTF">2024-02-29T07:27:13Z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