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rPr>
          <w:rFonts w:hint="default"/>
        </w:rPr>
      </w:pPr>
      <w:bookmarkStart w:id="0" w:name="_Hlk499199831"/>
      <w:bookmarkEnd w:id="0"/>
      <w:bookmarkStart w:id="1" w:name="_Toc402170961"/>
      <w:bookmarkEnd w:id="1"/>
      <w:bookmarkStart w:id="2" w:name="_Toc405397072"/>
      <w:bookmarkEnd w:id="2"/>
      <w:bookmarkStart w:id="3" w:name="_Toc405397073"/>
      <w:bookmarkEnd w:id="3"/>
      <w:bookmarkStart w:id="4" w:name="_Toc405397076"/>
      <w:bookmarkEnd w:id="4"/>
      <w:bookmarkStart w:id="5" w:name="_Toc405397082"/>
      <w:bookmarkEnd w:id="5"/>
      <w:bookmarkStart w:id="6" w:name="_Toc417551024"/>
      <w:bookmarkEnd w:id="6"/>
      <w:bookmarkStart w:id="7" w:name="_Toc417551028"/>
      <w:bookmarkEnd w:id="7"/>
      <w:bookmarkStart w:id="8" w:name="_Toc417551033"/>
      <w:bookmarkEnd w:id="8"/>
      <w:bookmarkStart w:id="9" w:name="_Toc417551034"/>
      <w:bookmarkEnd w:id="9"/>
      <w:bookmarkStart w:id="10" w:name="_Toc45876027"/>
      <w:bookmarkEnd w:id="10"/>
      <w:bookmarkStart w:id="11" w:name="_Toc497929519"/>
      <w:bookmarkEnd w:id="11"/>
      <w:bookmarkStart w:id="12" w:name="_Toc512263428"/>
      <w:bookmarkEnd w:id="12"/>
      <w:bookmarkStart w:id="13" w:name="_Toc512263441"/>
      <w:bookmarkEnd w:id="13"/>
      <w:bookmarkStart w:id="14" w:name="_Toc512263450"/>
      <w:bookmarkEnd w:id="14"/>
      <w:bookmarkStart w:id="15" w:name="_Toc512263451"/>
      <w:bookmarkEnd w:id="15"/>
      <w:bookmarkStart w:id="16" w:name="_Toc512263467"/>
      <w:bookmarkEnd w:id="16"/>
      <w:bookmarkStart w:id="17" w:name="_Toc512263470"/>
      <w:bookmarkEnd w:id="17"/>
      <w:bookmarkStart w:id="18" w:name="_Toc512263476"/>
      <w:bookmarkEnd w:id="18"/>
      <w:bookmarkStart w:id="19" w:name="_Toc512263477"/>
      <w:bookmarkEnd w:id="19"/>
      <w:bookmarkStart w:id="20" w:name="_Toc512263478"/>
      <w:bookmarkEnd w:id="20"/>
      <w:bookmarkStart w:id="21" w:name="_Toc512263479"/>
      <w:bookmarkEnd w:id="21"/>
      <w:bookmarkStart w:id="22" w:name="_Toc512263480"/>
      <w:bookmarkEnd w:id="22"/>
      <w:bookmarkStart w:id="23" w:name="_Toc512263481"/>
      <w:bookmarkEnd w:id="23"/>
      <w:bookmarkStart w:id="24" w:name="_Toc512263482"/>
      <w:bookmarkEnd w:id="24"/>
      <w:bookmarkStart w:id="25" w:name="_Toc512263483"/>
      <w:bookmarkEnd w:id="25"/>
      <w:bookmarkStart w:id="26" w:name="_Toc512263484"/>
      <w:bookmarkEnd w:id="26"/>
      <w:bookmarkStart w:id="27" w:name="_Toc512263485"/>
      <w:bookmarkEnd w:id="27"/>
      <w:bookmarkStart w:id="28" w:name="_Toc512263486"/>
      <w:bookmarkEnd w:id="28"/>
      <w:bookmarkStart w:id="29" w:name="_Toc512263487"/>
      <w:bookmarkEnd w:id="29"/>
      <w:bookmarkStart w:id="30" w:name="_Toc512263489"/>
      <w:bookmarkEnd w:id="30"/>
      <w:bookmarkStart w:id="31" w:name="_Toc512263490"/>
      <w:bookmarkEnd w:id="31"/>
      <w:bookmarkStart w:id="32" w:name="_Toc512263491"/>
      <w:bookmarkEnd w:id="32"/>
      <w:bookmarkStart w:id="33" w:name="_Toc512263492"/>
      <w:bookmarkEnd w:id="33"/>
      <w:bookmarkStart w:id="34" w:name="_Toc512263493"/>
      <w:bookmarkEnd w:id="34"/>
      <w:bookmarkStart w:id="35" w:name="_Toc512263494"/>
      <w:bookmarkEnd w:id="35"/>
      <w:bookmarkStart w:id="36" w:name="_Toc512263495"/>
      <w:bookmarkEnd w:id="36"/>
      <w:bookmarkStart w:id="37" w:name="_Toc512263496"/>
      <w:bookmarkEnd w:id="37"/>
      <w:bookmarkStart w:id="38" w:name="_Toc512263497"/>
      <w:bookmarkEnd w:id="38"/>
      <w:bookmarkStart w:id="39" w:name="_Toc512263498"/>
      <w:bookmarkEnd w:id="39"/>
      <w:bookmarkStart w:id="40" w:name="_Toc512263499"/>
      <w:bookmarkEnd w:id="40"/>
      <w:bookmarkStart w:id="41" w:name="_Toc512263502"/>
      <w:bookmarkEnd w:id="41"/>
      <w:bookmarkStart w:id="42" w:name="_Toc512263512"/>
      <w:bookmarkEnd w:id="42"/>
      <w:bookmarkStart w:id="43" w:name="_Toc512263519"/>
      <w:bookmarkEnd w:id="43"/>
      <w:bookmarkStart w:id="44" w:name="_Toc59007894"/>
      <w:r>
        <w:rPr>
          <w:rFonts w:hint="default"/>
        </w:rPr>
        <w:drawing>
          <wp:anchor distT="0" distB="0" distL="114300" distR="114300" simplePos="0" relativeHeight="2" behindDoc="0" locked="0" layoutInCell="1" hidden="0" allowOverlap="1">
            <wp:simplePos x="0" y="0"/>
            <wp:positionH relativeFrom="column">
              <wp:posOffset>0</wp:posOffset>
            </wp:positionH>
            <wp:positionV relativeFrom="paragraph">
              <wp:posOffset>-431800</wp:posOffset>
            </wp:positionV>
            <wp:extent cx="6188710" cy="803275"/>
            <wp:effectExtent l="0" t="0" r="0" b="0"/>
            <wp:wrapNone/>
            <wp:docPr id="1026" name="6章.bmp" descr="テキスト&#10;&#10;自動的に生成された説明"/>
            <a:graphic xmlns:a="http://schemas.openxmlformats.org/drawingml/2006/main">
              <a:graphicData uri="http://schemas.openxmlformats.org/drawingml/2006/picture">
                <pic:pic xmlns:pic="http://schemas.openxmlformats.org/drawingml/2006/picture">
                  <pic:nvPicPr>
                    <pic:cNvPr id="1026" name="6章.bmp" descr="テキスト&#10;&#10;自動的に生成された説明"/>
                    <pic:cNvPicPr/>
                  </pic:nvPicPr>
                  <pic:blipFill>
                    <a:blip r:embed="rId6"/>
                    <a:stretch>
                      <a:fillRect/>
                    </a:stretch>
                  </pic:blipFill>
                  <pic:spPr>
                    <a:xfrm>
                      <a:off x="0" y="0"/>
                      <a:ext cx="6188710" cy="803275"/>
                    </a:xfrm>
                    <a:prstGeom prst="rect">
                      <a:avLst/>
                    </a:prstGeom>
                  </pic:spPr>
                </pic:pic>
              </a:graphicData>
            </a:graphic>
          </wp:anchor>
        </w:drawing>
      </w:r>
      <w:bookmarkStart w:id="45" w:name="_GoBack"/>
      <w:bookmarkEnd w:id="45"/>
      <w:r>
        <w:rPr>
          <w:rFonts w:hint="eastAsia"/>
        </w:rPr>
        <w:t>第６章　計画の推進体制</w:t>
      </w:r>
      <w:bookmarkEnd w:id="44"/>
    </w:p>
    <w:p>
      <w:pPr>
        <w:pStyle w:val="3"/>
        <w:ind w:left="0" w:leftChars="0"/>
        <w:rPr>
          <w:rFonts w:hint="default" w:ascii="メイリオ" w:hAnsi="メイリオ" w:eastAsia="メイリオ"/>
          <w:b w:val="1"/>
          <w:sz w:val="28"/>
          <w:u w:val="single" w:color="auto"/>
        </w:rPr>
      </w:pPr>
      <w:bookmarkStart w:id="46" w:name="_Toc59007895"/>
      <w:r>
        <w:rPr>
          <w:rFonts w:hint="eastAsia" w:ascii="メイリオ" w:hAnsi="メイリオ" w:eastAsia="メイリオ"/>
          <w:b w:val="1"/>
          <w:sz w:val="32"/>
          <w:u w:val="single" w:color="auto"/>
        </w:rPr>
        <w:t>１．計画の進行管理</w:t>
      </w:r>
      <w:bookmarkEnd w:id="46"/>
      <w:r>
        <w:rPr>
          <w:rFonts w:hint="eastAsia" w:ascii="メイリオ" w:hAnsi="メイリオ" w:eastAsia="メイリオ"/>
          <w:b w:val="1"/>
          <w:sz w:val="32"/>
          <w:u w:val="single" w:color="auto"/>
        </w:rPr>
        <w:t>　　　　　　　　　　　　　　　　　　　　　　　　　　　</w:t>
      </w:r>
    </w:p>
    <w:p>
      <w:pPr>
        <w:pStyle w:val="0"/>
        <w:ind w:firstLine="240" w:firstLineChars="100"/>
        <w:jc w:val="both"/>
        <w:rPr>
          <w:rFonts w:hint="default"/>
        </w:rPr>
      </w:pPr>
      <w:r>
        <w:rPr>
          <w:rFonts w:hint="eastAsia"/>
        </w:rPr>
        <w:t>本市の附属</w:t>
      </w:r>
      <w:bookmarkStart w:id="47" w:name="_Toc442"/>
      <w:bookmarkEnd w:id="47"/>
      <w:bookmarkStart w:id="48" w:name="_Toc496351895"/>
      <w:bookmarkEnd w:id="48"/>
      <w:r>
        <w:rPr>
          <w:rFonts w:hint="eastAsia"/>
        </w:rPr>
        <w:t>機関である「箕面市保健医療福祉総合審議会」や「箕面市介護サービス評価専門員会議」の場において、高齢者保健福祉施策や介護保険事業に関する進捗状況の把握・評価を行うとともに、計画推進に際しての問題点・課題の抽出及び対応策などについて検討を行います。</w:t>
      </w:r>
    </w:p>
    <w:p>
      <w:pPr>
        <w:pStyle w:val="0"/>
        <w:ind w:firstLine="240" w:firstLineChars="100"/>
        <w:jc w:val="both"/>
        <w:rPr>
          <w:rFonts w:hint="default"/>
        </w:rPr>
      </w:pPr>
      <w:r>
        <w:rPr>
          <w:rFonts w:hint="eastAsia"/>
        </w:rPr>
        <w:t>計画の進捗状況や評価結果、計画に関する検討結果などについては、市ホームページ等様々な媒体を活用して市民への公表を行います。</w:t>
      </w:r>
    </w:p>
    <w:p>
      <w:pPr>
        <w:pStyle w:val="0"/>
        <w:rPr>
          <w:rFonts w:hint="default"/>
        </w:rPr>
      </w:pPr>
    </w:p>
    <w:p>
      <w:pPr>
        <w:pStyle w:val="3"/>
        <w:ind w:left="0" w:leftChars="0"/>
        <w:rPr>
          <w:rFonts w:hint="default" w:ascii="メイリオ" w:hAnsi="メイリオ" w:eastAsia="メイリオ"/>
          <w:b w:val="1"/>
          <w:sz w:val="28"/>
          <w:u w:val="single" w:color="auto"/>
        </w:rPr>
      </w:pPr>
      <w:bookmarkStart w:id="49" w:name="_Toc59007896"/>
      <w:r>
        <w:rPr>
          <w:rFonts w:hint="eastAsia" w:ascii="メイリオ" w:hAnsi="メイリオ" w:eastAsia="メイリオ"/>
          <w:b w:val="1"/>
          <w:sz w:val="32"/>
          <w:u w:val="single" w:color="auto"/>
        </w:rPr>
        <w:t>２．庁内における連携体制の強化</w:t>
      </w:r>
      <w:bookmarkEnd w:id="49"/>
      <w:r>
        <w:rPr>
          <w:rFonts w:hint="eastAsia" w:ascii="メイリオ" w:hAnsi="メイリオ" w:eastAsia="メイリオ"/>
          <w:b w:val="1"/>
          <w:sz w:val="32"/>
          <w:u w:val="single" w:color="auto"/>
        </w:rPr>
        <w:t>　　　　　　　　　　　　　　　　　　　　　　</w:t>
      </w:r>
    </w:p>
    <w:p>
      <w:pPr>
        <w:pStyle w:val="0"/>
        <w:ind w:firstLine="240" w:firstLineChars="100"/>
        <w:jc w:val="both"/>
        <w:rPr>
          <w:rFonts w:hint="default"/>
        </w:rPr>
      </w:pPr>
      <w:r>
        <w:rPr>
          <w:rFonts w:hint="eastAsia"/>
        </w:rPr>
        <w:t>本計画の推進にあたっては、計画を主管する健康福祉部だけでなく、庁内の関係部署が連携し、施策・事業を展開していく必要があります。</w:t>
      </w:r>
    </w:p>
    <w:p>
      <w:pPr>
        <w:pStyle w:val="0"/>
        <w:ind w:firstLine="240" w:firstLineChars="100"/>
        <w:jc w:val="both"/>
        <w:rPr>
          <w:rFonts w:hint="default"/>
        </w:rPr>
      </w:pPr>
      <w:r>
        <w:rPr>
          <w:rFonts w:hint="eastAsia"/>
        </w:rPr>
        <w:t>そのためにも、地域福祉をはじめ健康づくり、生涯学習、スポーツ、住宅政策、都市計画などの関係部署間の連携強化を進め、情報共有や施策・事業の調整を行います。</w:t>
      </w:r>
    </w:p>
    <w:p>
      <w:pPr>
        <w:pStyle w:val="0"/>
        <w:rPr>
          <w:rFonts w:hint="default"/>
        </w:rPr>
      </w:pPr>
    </w:p>
    <w:p>
      <w:pPr>
        <w:pStyle w:val="3"/>
        <w:ind w:left="0" w:leftChars="0"/>
        <w:rPr>
          <w:rFonts w:hint="default" w:ascii="メイリオ" w:hAnsi="メイリオ" w:eastAsia="メイリオ"/>
          <w:b w:val="1"/>
          <w:sz w:val="28"/>
          <w:u w:val="single" w:color="auto"/>
        </w:rPr>
      </w:pPr>
      <w:bookmarkStart w:id="50" w:name="_Toc494210971"/>
      <w:bookmarkStart w:id="51" w:name="_Toc494210977"/>
      <w:bookmarkStart w:id="52" w:name="_Toc59007897"/>
      <w:r>
        <w:rPr>
          <w:rFonts w:hint="eastAsia" w:ascii="メイリオ" w:hAnsi="メイリオ" w:eastAsia="メイリオ"/>
          <w:b w:val="1"/>
          <w:sz w:val="32"/>
          <w:u w:val="single" w:color="auto"/>
        </w:rPr>
        <w:t>３．関係機関・団体や民間事業者等との連携</w:t>
      </w:r>
      <w:bookmarkEnd w:id="50"/>
      <w:bookmarkEnd w:id="51"/>
      <w:bookmarkEnd w:id="52"/>
      <w:r>
        <w:rPr>
          <w:rFonts w:hint="eastAsia" w:ascii="メイリオ" w:hAnsi="メイリオ" w:eastAsia="メイリオ"/>
          <w:b w:val="1"/>
          <w:sz w:val="32"/>
          <w:u w:val="single" w:color="auto"/>
        </w:rPr>
        <w:t>　　　　　　　　　　　　　　　　　　</w:t>
      </w:r>
    </w:p>
    <w:p>
      <w:pPr>
        <w:pStyle w:val="0"/>
        <w:ind w:firstLine="240" w:firstLineChars="100"/>
        <w:jc w:val="both"/>
        <w:rPr>
          <w:rFonts w:hint="default"/>
        </w:rPr>
      </w:pPr>
      <w:r>
        <w:rPr>
          <w:rFonts w:hint="eastAsia"/>
        </w:rPr>
        <w:t>本計画は、高齢者が住み慣れた地域において安心して暮らしていくことができるよう、地域全体で高齢者を支援できる体制づくりを進める計画となります。</w:t>
      </w:r>
    </w:p>
    <w:p>
      <w:pPr>
        <w:pStyle w:val="0"/>
        <w:ind w:firstLine="240" w:firstLineChars="100"/>
        <w:jc w:val="both"/>
        <w:rPr>
          <w:rFonts w:hint="default"/>
        </w:rPr>
      </w:pPr>
      <w:r>
        <w:rPr>
          <w:rFonts w:hint="eastAsia"/>
        </w:rPr>
        <w:t>そのためにも、市はもとより、関係団体・機関や民間事業者などの高齢者を支援する各主体の役割分担を明確にしつつ、各主体間の連携強化を進めます。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2"/>
        <w:rPr>
          <w:rFonts w:hint="default"/>
        </w:rPr>
      </w:pPr>
    </w:p>
    <w:sectPr>
      <w:footerReference r:id="rId5" w:type="default"/>
      <w:pgSz w:w="11906" w:h="16838"/>
      <w:pgMar w:top="1440" w:right="1080" w:bottom="1440" w:left="1080" w:header="851" w:footer="454" w:gutter="0"/>
      <w:pgNumType w:start="13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59"/>
            <w:rFonts w:hint="eastAsia"/>
          </w:rPr>
          <w:t>132</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6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outlineLvl w:val="0"/>
    </w:pPr>
    <w:rPr>
      <w:rFonts w:asciiTheme="majorHAnsi" w:hAnsiTheme="majorHAnsi" w:eastAsiaTheme="majorEastAsia"/>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character" w:styleId="18" w:customStyle="1">
    <w:name w:val="見出し 4 (文字)"/>
    <w:basedOn w:val="10"/>
    <w:next w:val="18"/>
    <w:link w:val="4"/>
    <w:uiPriority w:val="0"/>
    <w:rPr>
      <w:b w:val="1"/>
    </w:rPr>
  </w:style>
  <w:style w:type="character" w:styleId="19" w:customStyle="1">
    <w:name w:val="見出し 5 (文字)"/>
    <w:basedOn w:val="10"/>
    <w:next w:val="19"/>
    <w:link w:val="5"/>
    <w:uiPriority w:val="0"/>
    <w:rPr>
      <w:rFonts w:asciiTheme="majorHAnsi" w:hAnsiTheme="majorHAnsi" w:eastAsiaTheme="majorEastAsia"/>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sz w:val="24"/>
    </w:rPr>
  </w:style>
  <w:style w:type="paragraph" w:styleId="26">
    <w:name w:val="toc 1"/>
    <w:basedOn w:val="0"/>
    <w:next w:val="0"/>
    <w:link w:val="0"/>
    <w:uiPriority w:val="0"/>
  </w:style>
  <w:style w:type="paragraph" w:styleId="27">
    <w:name w:val="toc 2"/>
    <w:basedOn w:val="0"/>
    <w:next w:val="0"/>
    <w:link w:val="0"/>
    <w:uiPriority w:val="0"/>
    <w:pPr>
      <w:ind w:left="210" w:leftChars="100"/>
    </w:pPr>
  </w:style>
  <w:style w:type="character" w:styleId="28">
    <w:name w:val="Hyperlink"/>
    <w:basedOn w:val="10"/>
    <w:next w:val="28"/>
    <w:link w:val="0"/>
    <w:uiPriority w:val="0"/>
    <w:rPr>
      <w:color w:val="0563C1" w:themeColor="hyperlink"/>
      <w:u w:val="single" w:color="auto"/>
    </w:rPr>
  </w:style>
  <w:style w:type="paragraph" w:styleId="29">
    <w:name w:val="toc 3"/>
    <w:basedOn w:val="0"/>
    <w:next w:val="0"/>
    <w:link w:val="0"/>
    <w:uiPriority w:val="0"/>
    <w:pPr>
      <w:ind w:left="420" w:leftChars="200"/>
    </w:p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character" w:styleId="32">
    <w:name w:val="annotation reference"/>
    <w:basedOn w:val="10"/>
    <w:next w:val="32"/>
    <w:link w:val="0"/>
    <w:uiPriority w:val="0"/>
    <w:semiHidden/>
    <w:rPr>
      <w:sz w:val="18"/>
    </w:rPr>
  </w:style>
  <w:style w:type="paragraph" w:styleId="33">
    <w:name w:val="annotation text"/>
    <w:basedOn w:val="0"/>
    <w:next w:val="33"/>
    <w:link w:val="34"/>
    <w:uiPriority w:val="0"/>
    <w:semiHidden/>
  </w:style>
  <w:style w:type="character" w:styleId="34" w:customStyle="1">
    <w:name w:val="コメント文字列 (文字)"/>
    <w:basedOn w:val="10"/>
    <w:next w:val="34"/>
    <w:link w:val="33"/>
    <w:uiPriority w:val="0"/>
  </w:style>
  <w:style w:type="paragraph" w:styleId="35">
    <w:name w:val="annotation subject"/>
    <w:basedOn w:val="33"/>
    <w:next w:val="33"/>
    <w:link w:val="36"/>
    <w:uiPriority w:val="0"/>
    <w:semiHidden/>
    <w:rPr>
      <w:b w:val="1"/>
    </w:rPr>
  </w:style>
  <w:style w:type="character" w:styleId="36" w:customStyle="1">
    <w:name w:val="コメント内容 (文字)"/>
    <w:basedOn w:val="34"/>
    <w:next w:val="36"/>
    <w:link w:val="35"/>
    <w:uiPriority w:val="0"/>
    <w:rPr>
      <w:b w:val="1"/>
    </w:rPr>
  </w:style>
  <w:style w:type="paragraph" w:styleId="37">
    <w:name w:val="toc 4"/>
    <w:basedOn w:val="0"/>
    <w:next w:val="0"/>
    <w:link w:val="0"/>
    <w:uiPriority w:val="0"/>
    <w:pPr>
      <w:tabs>
        <w:tab w:val="right" w:leader="middleDot" w:pos="8494"/>
      </w:tabs>
      <w:ind w:left="720" w:leftChars="300"/>
    </w:pPr>
  </w:style>
  <w:style w:type="paragraph" w:styleId="38" w:customStyle="1">
    <w:name w:val="標準３"/>
    <w:basedOn w:val="0"/>
    <w:next w:val="38"/>
    <w:link w:val="0"/>
    <w:uiPriority w:val="0"/>
    <w:qFormat/>
    <w:pPr>
      <w:widowControl w:val="0"/>
      <w:autoSpaceDE w:val="0"/>
      <w:autoSpaceDN w:val="0"/>
      <w:ind w:left="200" w:leftChars="200"/>
    </w:pPr>
    <w:rPr>
      <w:b w:val="1"/>
      <w:sz w:val="21"/>
    </w:rPr>
  </w:style>
  <w:style w:type="paragraph" w:styleId="39">
    <w:name w:val="toc 5"/>
    <w:basedOn w:val="0"/>
    <w:next w:val="0"/>
    <w:link w:val="0"/>
    <w:uiPriority w:val="0"/>
    <w:pPr>
      <w:ind w:left="960" w:leftChars="400"/>
    </w:pPr>
  </w:style>
  <w:style w:type="paragraph" w:styleId="40" w:customStyle="1">
    <w:name w:val="文言1"/>
    <w:basedOn w:val="0"/>
    <w:next w:val="40"/>
    <w:link w:val="41"/>
    <w:uiPriority w:val="0"/>
    <w:qFormat/>
    <w:pPr>
      <w:widowControl w:val="0"/>
      <w:autoSpaceDE w:val="0"/>
      <w:autoSpaceDN w:val="0"/>
      <w:ind w:left="220" w:leftChars="100" w:firstLine="220" w:firstLineChars="100"/>
      <w:jc w:val="both"/>
    </w:pPr>
    <w:rPr>
      <w:sz w:val="22"/>
    </w:rPr>
  </w:style>
  <w:style w:type="character" w:styleId="41" w:customStyle="1">
    <w:name w:val="文言1 (文字)"/>
    <w:basedOn w:val="10"/>
    <w:next w:val="41"/>
    <w:link w:val="40"/>
    <w:uiPriority w:val="0"/>
    <w:rPr>
      <w:sz w:val="22"/>
    </w:rPr>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paragraph" w:styleId="44" w:customStyle="1">
    <w:name w:val="標準２"/>
    <w:basedOn w:val="0"/>
    <w:next w:val="44"/>
    <w:link w:val="0"/>
    <w:uiPriority w:val="0"/>
    <w:qFormat/>
    <w:pPr>
      <w:widowControl w:val="0"/>
      <w:autoSpaceDE w:val="0"/>
      <w:autoSpaceDN w:val="0"/>
      <w:ind w:left="100" w:leftChars="100" w:hanging="386" w:hangingChars="386"/>
      <w:jc w:val="both"/>
    </w:pPr>
    <w:rPr>
      <w:b w:val="1"/>
      <w:sz w:val="21"/>
    </w:rPr>
  </w:style>
  <w:style w:type="paragraph" w:styleId="45">
    <w:name w:val="List Paragraph"/>
    <w:basedOn w:val="0"/>
    <w:next w:val="45"/>
    <w:link w:val="0"/>
    <w:uiPriority w:val="0"/>
    <w:qFormat/>
    <w:pPr>
      <w:ind w:left="840" w:leftChars="400"/>
    </w:pPr>
  </w:style>
  <w:style w:type="paragraph" w:styleId="46">
    <w:name w:val="Normal (Web)"/>
    <w:basedOn w:val="0"/>
    <w:next w:val="46"/>
    <w:link w:val="0"/>
    <w:uiPriority w:val="0"/>
    <w:qFormat/>
    <w:pPr>
      <w:widowControl w:val="0"/>
      <w:spacing w:before="100" w:beforeLines="0" w:beforeAutospacing="1" w:after="100" w:afterLines="0" w:afterAutospacing="1"/>
      <w:jc w:val="both"/>
    </w:pPr>
    <w:rPr>
      <w:rFonts w:ascii="ＭＳ Ｐゴシック" w:hAnsi="ＭＳ Ｐゴシック" w:eastAsia="ＭＳ Ｐゴシック"/>
      <w:kern w:val="0"/>
    </w:rPr>
  </w:style>
  <w:style w:type="paragraph" w:styleId="47">
    <w:name w:val="toc 7"/>
    <w:basedOn w:val="0"/>
    <w:next w:val="0"/>
    <w:link w:val="0"/>
    <w:uiPriority w:val="0"/>
    <w:pPr>
      <w:widowControl w:val="0"/>
      <w:ind w:left="1260" w:leftChars="600"/>
      <w:jc w:val="both"/>
    </w:pPr>
    <w:rPr>
      <w:rFonts w:asciiTheme="minorHAnsi" w:hAnsiTheme="minorHAnsi" w:eastAsiaTheme="minorEastAsia"/>
      <w:sz w:val="21"/>
    </w:rPr>
  </w:style>
  <w:style w:type="paragraph" w:styleId="48">
    <w:name w:val="toc 6"/>
    <w:basedOn w:val="0"/>
    <w:next w:val="0"/>
    <w:link w:val="0"/>
    <w:uiPriority w:val="0"/>
    <w:pPr>
      <w:widowControl w:val="0"/>
      <w:ind w:left="1050" w:leftChars="500"/>
      <w:jc w:val="both"/>
    </w:pPr>
    <w:rPr>
      <w:rFonts w:asciiTheme="minorHAnsi" w:hAnsiTheme="minorHAnsi" w:eastAsiaTheme="minorEastAsia"/>
      <w:sz w:val="21"/>
    </w:rPr>
  </w:style>
  <w:style w:type="paragraph" w:styleId="49">
    <w:name w:val="toc 8"/>
    <w:basedOn w:val="0"/>
    <w:next w:val="0"/>
    <w:link w:val="0"/>
    <w:uiPriority w:val="0"/>
    <w:pPr>
      <w:widowControl w:val="0"/>
      <w:ind w:left="1470" w:leftChars="700"/>
      <w:jc w:val="both"/>
    </w:pPr>
    <w:rPr>
      <w:rFonts w:asciiTheme="minorHAnsi" w:hAnsiTheme="minorHAnsi" w:eastAsiaTheme="minorEastAsia"/>
      <w:sz w:val="21"/>
    </w:rPr>
  </w:style>
  <w:style w:type="paragraph" w:styleId="50">
    <w:name w:val="toc 9"/>
    <w:basedOn w:val="0"/>
    <w:next w:val="0"/>
    <w:link w:val="0"/>
    <w:uiPriority w:val="0"/>
    <w:pPr>
      <w:widowControl w:val="0"/>
      <w:ind w:left="1680" w:leftChars="800"/>
      <w:jc w:val="both"/>
    </w:pPr>
    <w:rPr>
      <w:rFonts w:asciiTheme="minorHAnsi" w:hAnsiTheme="minorHAnsi" w:eastAsiaTheme="minorEastAsia"/>
      <w:sz w:val="21"/>
    </w:rPr>
  </w:style>
  <w:style w:type="character" w:styleId="51" w:customStyle="1">
    <w:name w:val="未解決のメンション1"/>
    <w:basedOn w:val="10"/>
    <w:next w:val="51"/>
    <w:link w:val="0"/>
    <w:uiPriority w:val="0"/>
    <w:rPr>
      <w:color w:val="605E5C"/>
      <w:shd w:val="clear" w:color="auto" w:fill="E1DFDD"/>
    </w:rPr>
  </w:style>
  <w:style w:type="paragraph" w:styleId="52">
    <w:name w:val="Date"/>
    <w:basedOn w:val="0"/>
    <w:next w:val="0"/>
    <w:link w:val="53"/>
    <w:uiPriority w:val="0"/>
  </w:style>
  <w:style w:type="character" w:styleId="53" w:customStyle="1">
    <w:name w:val="日付 (文字)"/>
    <w:basedOn w:val="10"/>
    <w:next w:val="53"/>
    <w:link w:val="52"/>
    <w:uiPriority w:val="0"/>
  </w:style>
  <w:style w:type="character" w:styleId="54" w:customStyle="1">
    <w:name w:val="mainarea_h2"/>
    <w:basedOn w:val="10"/>
    <w:next w:val="54"/>
    <w:link w:val="0"/>
    <w:uiPriority w:val="0"/>
    <w:qFormat/>
    <w:rPr>
      <w:sz w:val="30"/>
    </w:rPr>
  </w:style>
  <w:style w:type="paragraph" w:styleId="55">
    <w:name w:val="footnote text"/>
    <w:basedOn w:val="0"/>
    <w:next w:val="55"/>
    <w:link w:val="56"/>
    <w:uiPriority w:val="0"/>
    <w:semiHidden/>
    <w:pPr>
      <w:snapToGrid w:val="0"/>
    </w:pPr>
  </w:style>
  <w:style w:type="character" w:styleId="56" w:customStyle="1">
    <w:name w:val="脚注文字列 (文字)"/>
    <w:basedOn w:val="10"/>
    <w:next w:val="56"/>
    <w:link w:val="55"/>
    <w:uiPriority w:val="0"/>
  </w:style>
  <w:style w:type="paragraph" w:styleId="57">
    <w:name w:val="endnote text"/>
    <w:basedOn w:val="0"/>
    <w:next w:val="57"/>
    <w:link w:val="58"/>
    <w:uiPriority w:val="0"/>
    <w:semiHidden/>
    <w:pPr>
      <w:snapToGrid w:val="0"/>
    </w:pPr>
  </w:style>
  <w:style w:type="character" w:styleId="58" w:customStyle="1">
    <w:name w:val="文末脚注文字列 (文字)"/>
    <w:basedOn w:val="10"/>
    <w:next w:val="58"/>
    <w:link w:val="57"/>
    <w:uiPriority w:val="0"/>
  </w:style>
  <w:style w:type="character" w:styleId="59">
    <w:name w:val="page number"/>
    <w:basedOn w:val="10"/>
    <w:next w:val="59"/>
    <w:link w:val="0"/>
    <w:uiPriority w:val="0"/>
  </w:style>
  <w:style w:type="table" w:styleId="60" w:customStyle="1">
    <w:name w:val="表（シンプル 1）"/>
    <w:basedOn w:val="11"/>
    <w:next w:val="60"/>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1">
    <w:name w:val="Table Grid"/>
    <w:basedOn w:val="11"/>
    <w:next w:val="61"/>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9564</TotalTime>
  <Pages>1</Pages>
  <Words>0</Words>
  <Characters>520</Characters>
  <Application>JUST Note</Application>
  <Lines>33</Lines>
  <Paragraphs>10</Paragraphs>
  <CharactersWithSpaces>588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仲里 裕樹</dc:creator>
  <cp:lastModifiedBy>兒玉　愛(手動)</cp:lastModifiedBy>
  <cp:lastPrinted>2020-12-23T04:41:07Z</cp:lastPrinted>
  <dcterms:created xsi:type="dcterms:W3CDTF">2020-06-22T01:14:00Z</dcterms:created>
  <dcterms:modified xsi:type="dcterms:W3CDTF">2020-12-25T09:30:20Z</dcterms:modified>
  <cp:revision>686</cp:revision>
</cp:coreProperties>
</file>