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Pr>
          <w:rFonts w:hint="default" w:ascii="メイリオ" w:hAnsi="メイリオ" w:eastAsia="メイリオ"/>
          <w:b w:val="1"/>
          <w:sz w:val="28"/>
          <w:u w:val="single" w:color="auto"/>
        </w:rPr>
      </w:pPr>
      <w:bookmarkStart w:id="0" w:name="_Toc405397072"/>
      <w:bookmarkEnd w:id="0"/>
      <w:bookmarkStart w:id="1" w:name="_Toc405397073"/>
      <w:bookmarkEnd w:id="1"/>
      <w:bookmarkStart w:id="2" w:name="_Toc405397076"/>
      <w:bookmarkEnd w:id="2"/>
      <w:bookmarkStart w:id="3" w:name="_Toc405397082"/>
      <w:bookmarkEnd w:id="3"/>
      <w:bookmarkStart w:id="4" w:name="_Hlk499199831"/>
      <w:bookmarkEnd w:id="4"/>
      <w:bookmarkStart w:id="5" w:name="_Toc512263467"/>
      <w:bookmarkEnd w:id="5"/>
      <w:bookmarkStart w:id="6" w:name="_Toc512263470"/>
      <w:bookmarkEnd w:id="6"/>
      <w:bookmarkStart w:id="7" w:name="_Toc512263428"/>
      <w:bookmarkEnd w:id="7"/>
      <w:bookmarkStart w:id="8" w:name="_Toc512263441"/>
      <w:bookmarkEnd w:id="8"/>
      <w:bookmarkStart w:id="9" w:name="_Toc402170961"/>
      <w:bookmarkEnd w:id="9"/>
      <w:bookmarkStart w:id="10" w:name="_Toc512263450"/>
      <w:bookmarkEnd w:id="10"/>
      <w:bookmarkStart w:id="11" w:name="_Toc512263451"/>
      <w:bookmarkEnd w:id="11"/>
      <w:bookmarkStart w:id="12" w:name="_Toc45876027"/>
      <w:bookmarkEnd w:id="12"/>
      <w:bookmarkStart w:id="13" w:name="_Toc497929519"/>
      <w:bookmarkEnd w:id="13"/>
      <w:bookmarkStart w:id="14" w:name="_Toc59007833"/>
      <w:bookmarkStart w:id="15" w:name="_GoBack"/>
      <w:bookmarkEnd w:id="15"/>
      <w:r>
        <w:rPr>
          <w:rFonts w:hint="eastAsia" w:ascii="メイリオ" w:hAnsi="メイリオ" w:eastAsia="メイリオ"/>
          <w:b w:val="1"/>
          <w:sz w:val="32"/>
          <w:u w:val="single" w:color="auto"/>
        </w:rPr>
        <w:t>３．認知症高齢者支援策の充実</w:t>
      </w:r>
      <w:bookmarkEnd w:id="14"/>
      <w:r>
        <w:rPr>
          <w:rFonts w:hint="eastAsia" w:ascii="メイリオ" w:hAnsi="メイリオ" w:eastAsia="メイリオ"/>
          <w:b w:val="1"/>
          <w:sz w:val="32"/>
          <w:u w:val="single" w:color="auto"/>
        </w:rPr>
        <w:t>　　　　　　　　　　　　　　　　　　　　　　</w:t>
      </w:r>
    </w:p>
    <w:p>
      <w:pPr>
        <w:pStyle w:val="0"/>
        <w:ind w:left="240" w:hanging="240" w:hangingChars="100"/>
        <w:jc w:val="both"/>
        <w:rPr>
          <w:rFonts w:hint="default"/>
        </w:rPr>
      </w:pPr>
      <w:r>
        <w:rPr>
          <w:rFonts w:hint="eastAsia"/>
        </w:rPr>
        <w:t>○　国の推計によると、高齢化の進展に伴い、団塊の世代が後期高齢期を迎える令和７年</w:t>
      </w:r>
      <w:r>
        <w:rPr>
          <w:rFonts w:hint="eastAsia"/>
        </w:rPr>
        <w:t>(2025</w:t>
      </w:r>
      <w:r>
        <w:rPr>
          <w:rFonts w:hint="eastAsia"/>
        </w:rPr>
        <w:t>年</w:t>
      </w:r>
      <w:r>
        <w:rPr>
          <w:rFonts w:hint="eastAsia"/>
        </w:rPr>
        <w:t>)</w:t>
      </w:r>
      <w:r>
        <w:rPr>
          <w:rFonts w:hint="eastAsia"/>
        </w:rPr>
        <w:t>には認知症の人は約</w:t>
      </w:r>
      <w:r>
        <w:rPr>
          <w:rFonts w:hint="eastAsia"/>
        </w:rPr>
        <w:t>700</w:t>
      </w:r>
      <w:r>
        <w:rPr>
          <w:rFonts w:hint="eastAsia"/>
        </w:rPr>
        <w:t>万人、</w:t>
      </w:r>
      <w:r>
        <w:rPr>
          <w:rFonts w:hint="eastAsia"/>
        </w:rPr>
        <w:t>65</w:t>
      </w:r>
      <w:r>
        <w:rPr>
          <w:rFonts w:hint="eastAsia"/>
        </w:rPr>
        <w:t>歳以上高齢者の約５人に１人に達すると見込まれています。本市でも高齢化の進行に伴い、認知症高齢者の増加が予測されます。</w:t>
      </w:r>
    </w:p>
    <w:p>
      <w:pPr>
        <w:pStyle w:val="0"/>
        <w:ind w:left="240" w:hanging="240" w:hangingChars="100"/>
        <w:jc w:val="both"/>
        <w:rPr>
          <w:rFonts w:hint="default"/>
          <w:b w:val="1"/>
        </w:rPr>
      </w:pPr>
      <w:r>
        <w:rPr>
          <w:rFonts w:hint="eastAsia"/>
        </w:rPr>
        <w:t>○　認知症の多くは生活習慣病が関わっているため、若い頃からの生活習慣病の発症予防と重症化予防が認知症発症年齢を遅らせることにつながります。高齢期では適度な運動、バランスの良い食事、人との関わり・コミュニケーション（社会参加）を更に行って認知症の発症予防を促すとともに、認知機能の低下がみられるかたは必要な医療、福祉サービスの利用につなげ、併せて認知症になっても住み慣れた地域で過ごせる支援体制の整備に努めます。</w:t>
      </w:r>
    </w:p>
    <w:p>
      <w:pPr>
        <w:pStyle w:val="0"/>
        <w:jc w:val="both"/>
        <w:rPr>
          <w:rFonts w:hint="default"/>
        </w:rPr>
      </w:pPr>
    </w:p>
    <w:p>
      <w:pPr>
        <w:pStyle w:val="4"/>
        <w:ind w:left="0" w:leftChars="0"/>
        <w:jc w:val="both"/>
        <w:rPr>
          <w:rFonts w:hint="default" w:ascii="ＭＳ ゴシック" w:hAnsi="ＭＳ ゴシック" w:eastAsia="ＭＳ ゴシック"/>
          <w:b w:val="0"/>
          <w:sz w:val="28"/>
        </w:rPr>
      </w:pPr>
      <w:bookmarkStart w:id="16" w:name="_Toc59007834"/>
      <w:r>
        <w:rPr>
          <w:rFonts w:hint="eastAsia" w:ascii="ＭＳ ゴシック" w:hAnsi="ＭＳ ゴシック" w:eastAsia="ＭＳ ゴシック"/>
          <w:b w:val="0"/>
          <w:sz w:val="28"/>
        </w:rPr>
        <w:t>（１）認知症予防と啓発の推進</w:t>
      </w:r>
      <w:bookmarkEnd w:id="16"/>
    </w:p>
    <w:p>
      <w:pPr>
        <w:pStyle w:val="5"/>
        <w:ind w:left="0" w:leftChars="0" w:firstLine="240" w:firstLineChars="100"/>
        <w:jc w:val="both"/>
        <w:rPr>
          <w:rFonts w:hint="default" w:ascii="ＭＳ ゴシック" w:hAnsi="ＭＳ ゴシック" w:eastAsia="ＭＳ ゴシック"/>
        </w:rPr>
      </w:pPr>
      <w:bookmarkStart w:id="17" w:name="_Toc59007835"/>
      <w:r>
        <w:rPr>
          <w:rFonts w:hint="eastAsia" w:ascii="ＭＳ ゴシック" w:hAnsi="ＭＳ ゴシック" w:eastAsia="ＭＳ ゴシック"/>
        </w:rPr>
        <w:t>ア）正しい知識の普及啓発・健康教育</w:t>
      </w:r>
      <w:bookmarkEnd w:id="17"/>
    </w:p>
    <w:p>
      <w:pPr>
        <w:pStyle w:val="0"/>
        <w:ind w:left="480" w:leftChars="100" w:hanging="240" w:hangingChars="100"/>
        <w:jc w:val="both"/>
        <w:rPr>
          <w:rFonts w:hint="default"/>
        </w:rPr>
      </w:pPr>
      <w:r>
        <w:rPr>
          <w:rFonts w:hint="eastAsia"/>
        </w:rPr>
        <w:t>○　認知症に関する正しい知識を得ることは、認知症の予防や早期に治療へつながる効果があるため、市の認知症地域支援推進員が中心となり、子ども達から高齢者まで幅広い世代に向けて、対象ごとの健康教育の実施、広報紙やホームページでの啓発など情報発信を積極的に行います。</w:t>
      </w:r>
    </w:p>
    <w:p>
      <w:pPr>
        <w:pStyle w:val="44"/>
        <w:ind w:left="516" w:leftChars="15" w:hanging="480" w:hangingChars="200"/>
        <w:rPr>
          <w:rFonts w:hint="default"/>
          <w:b w:val="0"/>
          <w:sz w:val="24"/>
        </w:rPr>
      </w:pPr>
      <w:r>
        <w:rPr>
          <w:rFonts w:hint="eastAsia"/>
          <w:b w:val="0"/>
          <w:sz w:val="24"/>
        </w:rPr>
        <w:t>　○　できるだけ早い段階から認知症を知り、理解を深めることが重要であるため、小・中・高等学校や大学等の地域の教育機関と連携し、子ども達に向けた普及啓発活動を行います。</w:t>
      </w:r>
    </w:p>
    <w:p>
      <w:pPr>
        <w:pStyle w:val="44"/>
        <w:ind w:left="516" w:leftChars="15" w:hanging="480" w:hangingChars="200"/>
        <w:rPr>
          <w:rFonts w:hint="default"/>
          <w:b w:val="0"/>
          <w:sz w:val="24"/>
        </w:rPr>
      </w:pPr>
    </w:p>
    <w:p>
      <w:pPr>
        <w:pStyle w:val="5"/>
        <w:ind w:left="0" w:leftChars="0" w:firstLine="240" w:firstLineChars="100"/>
        <w:jc w:val="both"/>
        <w:rPr>
          <w:rFonts w:hint="default" w:ascii="ＭＳ ゴシック" w:hAnsi="ＭＳ ゴシック" w:eastAsia="ＭＳ ゴシック"/>
        </w:rPr>
      </w:pPr>
      <w:bookmarkStart w:id="18" w:name="_Toc59007836"/>
      <w:r>
        <w:rPr>
          <w:rFonts w:hint="eastAsia" w:ascii="ＭＳ ゴシック" w:hAnsi="ＭＳ ゴシック" w:eastAsia="ＭＳ ゴシック"/>
        </w:rPr>
        <w:t>イ）生活習慣病対策</w:t>
      </w:r>
      <w:bookmarkEnd w:id="18"/>
    </w:p>
    <w:p>
      <w:pPr>
        <w:pStyle w:val="0"/>
        <w:ind w:left="480" w:leftChars="100" w:hanging="240" w:hangingChars="100"/>
        <w:jc w:val="both"/>
        <w:rPr>
          <w:rFonts w:hint="default"/>
        </w:rPr>
      </w:pPr>
      <w:r>
        <w:rPr>
          <w:rFonts w:hint="eastAsia"/>
        </w:rPr>
        <w:t>○　糖尿病は、アルツハイマー型認知症の合併が高頻度であり、また脳血管性認知症の発症とも関連があることから、成人期からの血糖コントロールを重要視し、健診の受診勧奨や個別相談が受けられる体制づくりを強化します。また、歯周病は血糖コントロールを悪化させたり、アルツハイマー型認知症のリスクを上昇させるという研究報告もあることから、生活習慣病と並行して歯科健診の勧奨等の歯周病対策を講じます。</w:t>
      </w:r>
    </w:p>
    <w:p>
      <w:pPr>
        <w:pStyle w:val="0"/>
        <w:ind w:left="481" w:leftChars="100" w:hanging="241" w:hangingChars="100"/>
        <w:jc w:val="both"/>
        <w:rPr>
          <w:rFonts w:hint="default"/>
          <w:b w:val="1"/>
        </w:rPr>
      </w:pPr>
    </w:p>
    <w:p>
      <w:pPr>
        <w:pStyle w:val="5"/>
        <w:ind w:left="0" w:leftChars="0" w:firstLine="240" w:firstLineChars="100"/>
        <w:jc w:val="both"/>
        <w:rPr>
          <w:rFonts w:hint="default" w:ascii="ＭＳ ゴシック" w:hAnsi="ＭＳ ゴシック" w:eastAsia="ＭＳ ゴシック"/>
        </w:rPr>
      </w:pPr>
      <w:bookmarkStart w:id="19" w:name="_Toc59007837"/>
      <w:r>
        <w:rPr>
          <w:rFonts w:hint="eastAsia" w:ascii="ＭＳ ゴシック" w:hAnsi="ＭＳ ゴシック" w:eastAsia="ＭＳ ゴシック"/>
        </w:rPr>
        <w:t>ウ）認知症予防推進員の養成</w:t>
      </w:r>
      <w:bookmarkEnd w:id="19"/>
    </w:p>
    <w:p>
      <w:pPr>
        <w:pStyle w:val="0"/>
        <w:ind w:left="480" w:leftChars="100" w:hanging="240" w:hangingChars="100"/>
        <w:jc w:val="both"/>
        <w:rPr>
          <w:rFonts w:hint="default"/>
        </w:rPr>
      </w:pPr>
      <w:r>
        <w:rPr>
          <w:rFonts w:hint="eastAsia"/>
        </w:rPr>
        <w:t>○　街かどデイハウスや高齢者ふれあいいきいきサロン等、地域の通いの場で認知症予　防と啓発の役割を担う「認知症予防推進員」を養成します。</w:t>
      </w:r>
    </w:p>
    <w:p>
      <w:pPr>
        <w:pStyle w:val="0"/>
        <w:ind w:left="480" w:leftChars="100" w:hanging="240" w:hangingChars="100"/>
        <w:jc w:val="both"/>
        <w:rPr>
          <w:rFonts w:hint="default"/>
        </w:rPr>
      </w:pPr>
    </w:p>
    <w:p>
      <w:pPr>
        <w:pStyle w:val="0"/>
        <w:jc w:val="both"/>
        <w:rPr>
          <w:rFonts w:hint="default" w:ascii="ＭＳ ゴシック" w:hAnsi="ＭＳ ゴシック" w:eastAsia="ＭＳ ゴシック"/>
        </w:rPr>
      </w:pPr>
      <w:r>
        <w:rPr>
          <w:rFonts w:hint="eastAsia"/>
        </w:rPr>
        <w:t>　</w:t>
      </w:r>
      <w:r>
        <w:rPr>
          <w:rFonts w:hint="eastAsia" w:ascii="ＭＳ ゴシック" w:hAnsi="ＭＳ ゴシック" w:eastAsia="ＭＳ ゴシック"/>
        </w:rPr>
        <w:t>エ）認知症予防自主グループへの支援</w:t>
      </w:r>
    </w:p>
    <w:p>
      <w:pPr>
        <w:pStyle w:val="0"/>
        <w:ind w:firstLine="240" w:firstLineChars="100"/>
        <w:jc w:val="both"/>
        <w:rPr>
          <w:rFonts w:hint="default"/>
        </w:rPr>
      </w:pPr>
      <w:r>
        <w:rPr>
          <w:rFonts w:hint="eastAsia"/>
        </w:rPr>
        <w:t>○　認知症予防自主グループの立ち上げや継続活動を支援します。</w:t>
      </w:r>
    </w:p>
    <w:p>
      <w:pPr>
        <w:pStyle w:val="0"/>
        <w:rPr>
          <w:rFonts w:hint="default"/>
        </w:rPr>
      </w:pPr>
    </w:p>
    <w:p>
      <w:pPr>
        <w:pStyle w:val="0"/>
        <w:rPr>
          <w:rFonts w:hint="default"/>
        </w:rPr>
      </w:pPr>
    </w:p>
    <w:p>
      <w:pPr>
        <w:pStyle w:val="4"/>
        <w:ind w:left="0" w:leftChars="0"/>
        <w:jc w:val="both"/>
        <w:rPr>
          <w:rFonts w:hint="default" w:ascii="ＭＳ ゴシック" w:hAnsi="ＭＳ ゴシック" w:eastAsia="ＭＳ ゴシック"/>
          <w:b w:val="0"/>
          <w:sz w:val="28"/>
        </w:rPr>
      </w:pPr>
      <w:bookmarkStart w:id="20" w:name="_Toc59007838"/>
      <w:r>
        <w:rPr>
          <w:rFonts w:hint="eastAsia" w:ascii="ＭＳ ゴシック" w:hAnsi="ＭＳ ゴシック" w:eastAsia="ＭＳ ゴシック"/>
          <w:b w:val="0"/>
          <w:sz w:val="28"/>
        </w:rPr>
        <w:t>（２）認知症の早期発見・早期対応の推進</w:t>
      </w:r>
      <w:bookmarkEnd w:id="20"/>
    </w:p>
    <w:p>
      <w:pPr>
        <w:pStyle w:val="5"/>
        <w:ind w:left="0" w:leftChars="0" w:firstLine="240" w:firstLineChars="100"/>
        <w:jc w:val="both"/>
        <w:rPr>
          <w:rFonts w:hint="default" w:ascii="ＭＳ ゴシック" w:hAnsi="ＭＳ ゴシック" w:eastAsia="ＭＳ ゴシック"/>
        </w:rPr>
      </w:pPr>
      <w:bookmarkStart w:id="21" w:name="_Toc59007839"/>
      <w:r>
        <w:rPr>
          <w:rFonts w:hint="eastAsia" w:ascii="ＭＳ ゴシック" w:hAnsi="ＭＳ ゴシック" w:eastAsia="ＭＳ ゴシック"/>
        </w:rPr>
        <w:t>ア）早期発見</w:t>
      </w:r>
      <w:bookmarkEnd w:id="21"/>
    </w:p>
    <w:p>
      <w:pPr>
        <w:pStyle w:val="44"/>
        <w:ind w:left="480" w:hanging="240" w:hangingChars="100"/>
        <w:rPr>
          <w:rFonts w:hint="default"/>
          <w:b w:val="0"/>
          <w:sz w:val="24"/>
        </w:rPr>
      </w:pPr>
      <w:r>
        <w:rPr>
          <w:rFonts w:hint="eastAsia"/>
          <w:b w:val="0"/>
          <w:sz w:val="24"/>
          <w:shd w:val="clear" w:color="auto" w:themeFill="background1" w:themeFillTint="FF" w:themeFillShade="FF"/>
        </w:rPr>
        <w:t>○</w:t>
      </w:r>
      <w:r>
        <w:rPr>
          <w:rFonts w:hint="eastAsia"/>
          <w:b w:val="0"/>
          <w:sz w:val="24"/>
        </w:rPr>
        <w:t>　軽度認知障害（ＭＣＩ）</w:t>
      </w:r>
      <w:r>
        <w:rPr>
          <w:rFonts w:hint="eastAsia"/>
          <w:b w:val="0"/>
          <w:sz w:val="24"/>
          <w:vertAlign w:val="superscript"/>
        </w:rPr>
        <w:t>※</w:t>
      </w:r>
      <w:r>
        <w:rPr>
          <w:rStyle w:val="42"/>
          <w:rFonts w:hint="default"/>
          <w:b w:val="0"/>
          <w:sz w:val="24"/>
        </w:rPr>
        <w:footnoteReference w:id="1"/>
      </w:r>
      <w:r>
        <w:rPr>
          <w:rFonts w:hint="eastAsia"/>
          <w:b w:val="0"/>
          <w:sz w:val="24"/>
        </w:rPr>
        <w:t>や軽度の認知症の場合は、早期に対応すれば認知症の進行を抑えられる可能性があるため、認知機能低下サインへの気づきを促すことができるよう努めます。</w:t>
      </w:r>
    </w:p>
    <w:p>
      <w:pPr>
        <w:pStyle w:val="44"/>
        <w:ind w:left="480" w:hanging="240" w:hangingChars="100"/>
        <w:rPr>
          <w:rFonts w:hint="default"/>
          <w:b w:val="0"/>
          <w:sz w:val="24"/>
        </w:rPr>
      </w:pPr>
      <w:r>
        <w:rPr>
          <w:rFonts w:hint="eastAsia"/>
          <w:b w:val="0"/>
          <w:sz w:val="24"/>
        </w:rPr>
        <w:t>○　箕面市版認知症ケアパス</w:t>
      </w:r>
      <w:r>
        <w:rPr>
          <w:rFonts w:hint="eastAsia"/>
          <w:b w:val="0"/>
          <w:sz w:val="24"/>
          <w:vertAlign w:val="superscript"/>
        </w:rPr>
        <w:t>※</w:t>
      </w:r>
      <w:r>
        <w:rPr>
          <w:rStyle w:val="42"/>
          <w:rFonts w:hint="default"/>
          <w:b w:val="0"/>
          <w:sz w:val="24"/>
        </w:rPr>
        <w:footnoteReference w:id="2"/>
      </w:r>
      <w:r>
        <w:rPr>
          <w:rFonts w:hint="eastAsia"/>
          <w:b w:val="0"/>
          <w:sz w:val="24"/>
        </w:rPr>
        <w:t>「認知症安心ガイド」の改訂及び普及啓発、市内各所にタブレットを設置し認知機能セルフチェックの推進、通いの場での簡易測定実施等により、認知症の早期発見ができるよう努めます。</w:t>
      </w:r>
    </w:p>
    <w:p>
      <w:pPr>
        <w:pStyle w:val="44"/>
        <w:ind w:left="626" w:firstLineChars="0"/>
        <w:rPr>
          <w:rFonts w:hint="default"/>
          <w:b w:val="0"/>
          <w:sz w:val="24"/>
        </w:rPr>
      </w:pPr>
    </w:p>
    <w:p>
      <w:pPr>
        <w:pStyle w:val="5"/>
        <w:ind w:left="0" w:leftChars="0" w:firstLine="240" w:firstLineChars="100"/>
        <w:jc w:val="both"/>
        <w:rPr>
          <w:rFonts w:hint="default" w:ascii="ＭＳ ゴシック" w:hAnsi="ＭＳ ゴシック" w:eastAsia="ＭＳ ゴシック"/>
        </w:rPr>
      </w:pPr>
      <w:bookmarkStart w:id="22" w:name="_Toc59007840"/>
      <w:r>
        <w:rPr>
          <w:rFonts w:hint="eastAsia" w:ascii="ＭＳ ゴシック" w:hAnsi="ＭＳ ゴシック" w:eastAsia="ＭＳ ゴシック"/>
        </w:rPr>
        <w:t>イ）早期対応</w:t>
      </w:r>
      <w:bookmarkEnd w:id="22"/>
    </w:p>
    <w:p>
      <w:pPr>
        <w:pStyle w:val="44"/>
        <w:ind w:left="480" w:hanging="240" w:hangingChars="100"/>
        <w:rPr>
          <w:rFonts w:hint="default"/>
          <w:b w:val="0"/>
          <w:sz w:val="24"/>
        </w:rPr>
      </w:pPr>
      <w:r>
        <w:rPr>
          <w:rFonts w:hint="eastAsia"/>
          <w:b w:val="0"/>
          <w:sz w:val="24"/>
        </w:rPr>
        <w:t>○　認知症の疑いがあると判断されたかたには、「認知症安心ガイド」や箕面市医師会が発行している「みのお認知症相談マップ」を活用し、医療機関への受診勧奨を行います。</w:t>
      </w:r>
    </w:p>
    <w:p>
      <w:pPr>
        <w:pStyle w:val="44"/>
        <w:ind w:left="480" w:hanging="240" w:hangingChars="100"/>
        <w:rPr>
          <w:rFonts w:hint="default"/>
          <w:b w:val="0"/>
          <w:sz w:val="24"/>
        </w:rPr>
      </w:pPr>
      <w:r>
        <w:rPr>
          <w:rFonts w:hint="eastAsia"/>
          <w:b w:val="0"/>
          <w:sz w:val="24"/>
        </w:rPr>
        <w:t>○　認知症状の状態に応じたサービス利用を促すため、地域包括支援センターへの相談につなげます。</w:t>
      </w:r>
    </w:p>
    <w:p>
      <w:pPr>
        <w:pStyle w:val="44"/>
        <w:ind w:left="626" w:firstLineChars="0"/>
        <w:rPr>
          <w:rFonts w:hint="default"/>
          <w:b w:val="0"/>
          <w:sz w:val="24"/>
        </w:rPr>
      </w:pPr>
    </w:p>
    <w:p>
      <w:pPr>
        <w:pStyle w:val="5"/>
        <w:ind w:left="0" w:leftChars="0" w:firstLine="240" w:firstLineChars="100"/>
        <w:jc w:val="both"/>
        <w:rPr>
          <w:rFonts w:hint="default" w:ascii="ＭＳ ゴシック" w:hAnsi="ＭＳ ゴシック" w:eastAsia="ＭＳ ゴシック"/>
        </w:rPr>
      </w:pPr>
      <w:bookmarkStart w:id="23" w:name="_Toc59007841"/>
      <w:r>
        <w:rPr>
          <w:rFonts w:hint="eastAsia" w:ascii="ＭＳ ゴシック" w:hAnsi="ＭＳ ゴシック" w:eastAsia="ＭＳ ゴシック"/>
        </w:rPr>
        <w:t>ウ）認知症初期集中支援チームによる支</w:t>
      </w:r>
      <w:r>
        <w:rPr>
          <w:rFonts w:hint="eastAsia" w:ascii="ＭＳ ゴシック" w:hAnsi="ＭＳ ゴシック" w:eastAsia="ＭＳ ゴシック"/>
          <w:color w:val="000000" w:themeColor="text1"/>
        </w:rPr>
        <w:t>援</w:t>
      </w:r>
      <w:r>
        <w:rPr>
          <w:rFonts w:hint="eastAsia" w:ascii="ＭＳ 明朝" w:hAnsi="ＭＳ 明朝" w:eastAsia="ＭＳ 明朝"/>
          <w:color w:val="000000" w:themeColor="text1"/>
        </w:rPr>
        <w:t>（図表</w:t>
      </w:r>
      <w:r>
        <w:rPr>
          <w:rFonts w:hint="eastAsia" w:ascii="ＭＳ 明朝" w:hAnsi="ＭＳ 明朝" w:eastAsia="ＭＳ 明朝"/>
          <w:color w:val="000000" w:themeColor="text1"/>
        </w:rPr>
        <w:t>93</w:t>
      </w:r>
      <w:r>
        <w:rPr>
          <w:rFonts w:hint="eastAsia" w:ascii="ＭＳ 明朝" w:hAnsi="ＭＳ 明朝" w:eastAsia="ＭＳ 明朝"/>
          <w:color w:val="000000" w:themeColor="text1"/>
        </w:rPr>
        <w:t>参照）</w:t>
      </w:r>
      <w:bookmarkEnd w:id="23"/>
    </w:p>
    <w:p>
      <w:pPr>
        <w:pStyle w:val="44"/>
        <w:ind w:left="571" w:leftChars="138" w:hanging="240" w:hangingChars="100"/>
        <w:rPr>
          <w:rFonts w:hint="default"/>
          <w:b w:val="0"/>
          <w:color w:val="000000" w:themeColor="text1"/>
          <w:sz w:val="24"/>
        </w:rPr>
      </w:pPr>
      <w:r>
        <w:rPr>
          <w:rFonts w:hint="eastAsia"/>
          <w:b w:val="0"/>
          <w:color w:val="000000" w:themeColor="text1"/>
          <w:sz w:val="24"/>
        </w:rPr>
        <w:t>○　医師と保健師等で構成する認知症初期集中支援チームにより、医療・介護サービスにつながっていない認知症高齢者等とその家族に対し、適切かつ必要なサービスが受けられるよう医療機関への受診勧奨や同行受診など、積極的に支援を行います。</w:t>
      </w:r>
    </w:p>
    <w:p>
      <w:pPr>
        <w:pStyle w:val="44"/>
        <w:ind w:left="578" w:leftChars="141" w:hanging="240" w:hangingChars="100"/>
        <w:rPr>
          <w:rFonts w:hint="default"/>
          <w:b w:val="0"/>
          <w:color w:val="000000" w:themeColor="text1"/>
          <w:sz w:val="24"/>
        </w:rPr>
      </w:pPr>
      <w:r>
        <w:rPr>
          <w:rFonts w:hint="eastAsia"/>
          <w:b w:val="0"/>
          <w:color w:val="000000" w:themeColor="text1"/>
          <w:sz w:val="24"/>
        </w:rPr>
        <w:t>○　地域の医療機関と連携し、地域包括支援センター、介護サービス事業者などの相談に応じ、必要な指導助言等の支援をするとともに、毎月チームでの情報共有を行い、困難事案の検証や支援方針のありかた等を検討します。</w:t>
      </w: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578" w:leftChars="141" w:hanging="240" w:hangingChars="100"/>
        <w:rPr>
          <w:rFonts w:hint="default"/>
          <w:b w:val="0"/>
          <w:color w:val="000000" w:themeColor="text1"/>
          <w:sz w:val="24"/>
        </w:rPr>
      </w:pPr>
    </w:p>
    <w:p>
      <w:pPr>
        <w:pStyle w:val="44"/>
        <w:ind w:left="338" w:leftChars="141" w:firstLine="0" w:firstLineChars="0"/>
        <w:rPr>
          <w:rFonts w:hint="default"/>
          <w:b w:val="0"/>
          <w:color w:val="000000" w:themeColor="text1"/>
          <w:sz w:val="24"/>
        </w:rPr>
      </w:pPr>
    </w:p>
    <w:p>
      <w:pPr>
        <w:pStyle w:val="0"/>
        <w:ind w:left="630" w:hanging="630" w:hangingChars="30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93</w:t>
      </w:r>
      <w:r>
        <w:rPr>
          <w:rFonts w:hint="default" w:ascii="ＭＳ ゴシック" w:hAnsi="ＭＳ ゴシック" w:eastAsia="ＭＳ ゴシック"/>
          <w:sz w:val="21"/>
        </w:rPr>
        <w:t>：</w:t>
      </w:r>
      <w:r>
        <w:rPr>
          <w:rFonts w:hint="eastAsia" w:ascii="ＭＳ ゴシック" w:hAnsi="ＭＳ ゴシック" w:eastAsia="ＭＳ ゴシック"/>
          <w:sz w:val="21"/>
        </w:rPr>
        <w:t>認知症初期集中支援チーム</w:t>
      </w:r>
      <w:r>
        <w:rPr>
          <w:rFonts w:hint="eastAsia" w:ascii="ＭＳ ゴシック" w:hAnsi="ＭＳ ゴシック" w:eastAsia="ＭＳ ゴシック"/>
          <w:color w:val="000000" w:themeColor="text1"/>
          <w:sz w:val="21"/>
        </w:rPr>
        <w:t>による支援</w:t>
      </w:r>
    </w:p>
    <w:p>
      <w:pPr>
        <w:pStyle w:val="0"/>
        <w:ind w:left="720" w:hanging="720" w:hangingChars="300"/>
        <w:jc w:val="center"/>
        <w:rPr>
          <w:rFonts w:hint="default"/>
        </w:rPr>
      </w:pPr>
      <w:r>
        <w:rPr>
          <w:rFonts w:hint="default"/>
        </w:rPr>
        <w:drawing>
          <wp:inline distT="0" distB="0" distL="0" distR="0">
            <wp:extent cx="6188710" cy="476440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6"/>
                    <a:stretch>
                      <a:fillRect/>
                    </a:stretch>
                  </pic:blipFill>
                  <pic:spPr>
                    <a:xfrm>
                      <a:off x="0" y="0"/>
                      <a:ext cx="6188710" cy="4764405"/>
                    </a:xfrm>
                    <a:prstGeom prst="rect">
                      <a:avLst/>
                    </a:prstGeom>
                  </pic:spPr>
                </pic:pic>
              </a:graphicData>
            </a:graphic>
          </wp:inline>
        </w:drawing>
      </w:r>
    </w:p>
    <w:p>
      <w:pPr>
        <w:pStyle w:val="44"/>
        <w:ind w:left="60" w:leftChars="25" w:firstLine="0" w:firstLineChars="0"/>
        <w:rPr>
          <w:rFonts w:hint="default"/>
          <w:b w:val="0"/>
          <w:color w:val="C00000"/>
        </w:rPr>
      </w:pPr>
    </w:p>
    <w:p>
      <w:pPr>
        <w:pStyle w:val="4"/>
        <w:ind w:left="0" w:leftChars="0"/>
        <w:jc w:val="both"/>
        <w:rPr>
          <w:rFonts w:hint="default" w:ascii="ＭＳ ゴシック" w:hAnsi="ＭＳ ゴシック" w:eastAsia="ＭＳ ゴシック"/>
          <w:b w:val="0"/>
          <w:sz w:val="28"/>
        </w:rPr>
      </w:pPr>
      <w:bookmarkStart w:id="24" w:name="_Toc59007842"/>
      <w:r>
        <w:rPr>
          <w:rFonts w:hint="eastAsia" w:ascii="ＭＳ ゴシック" w:hAnsi="ＭＳ ゴシック" w:eastAsia="ＭＳ ゴシック"/>
          <w:b w:val="0"/>
          <w:sz w:val="28"/>
        </w:rPr>
        <w:t>（３）認知症高齢者の見守り・支援体制の強化</w:t>
      </w:r>
      <w:bookmarkEnd w:id="24"/>
    </w:p>
    <w:p>
      <w:pPr>
        <w:pStyle w:val="5"/>
        <w:ind w:left="0" w:leftChars="0" w:firstLine="240" w:firstLineChars="100"/>
        <w:jc w:val="both"/>
        <w:rPr>
          <w:rFonts w:hint="default" w:ascii="ＭＳ ゴシック" w:hAnsi="ＭＳ ゴシック" w:eastAsia="ＭＳ ゴシック"/>
        </w:rPr>
      </w:pPr>
      <w:bookmarkStart w:id="25" w:name="_Toc59007843"/>
      <w:r>
        <w:rPr>
          <w:rFonts w:hint="eastAsia" w:ascii="ＭＳ ゴシック" w:hAnsi="ＭＳ ゴシック" w:eastAsia="ＭＳ ゴシック"/>
        </w:rPr>
        <w:t>ア）ひとり歩き・行方不明対策</w:t>
      </w:r>
      <w:bookmarkEnd w:id="25"/>
    </w:p>
    <w:p>
      <w:pPr>
        <w:pStyle w:val="0"/>
        <w:ind w:left="480" w:leftChars="100" w:hanging="240" w:hangingChars="100"/>
        <w:jc w:val="both"/>
        <w:rPr>
          <w:rFonts w:hint="default"/>
        </w:rPr>
      </w:pPr>
      <w:r>
        <w:rPr>
          <w:rFonts w:hint="eastAsia"/>
        </w:rPr>
        <w:t>○　本市では、認知症高齢者等が行方不明になった場合を想定して、「みのお行方不明者ＳＯＳネット」及び「市民安全メール」が整備されており、今後も引き続き事前登録の周知・勧奨を行います。「市民安全メール」については、行方不明者の早期発見に向け、広く市民に周知を進める必要があることから、ホームページや認知症関連の講座等の機会等を活用するとともに、地域包括支援センターや介護保険事業所との連携により、登録者の拡大に努めます。</w:t>
      </w:r>
    </w:p>
    <w:p>
      <w:pPr>
        <w:pStyle w:val="0"/>
        <w:ind w:left="480" w:leftChars="100" w:hanging="240" w:hangingChars="100"/>
        <w:jc w:val="both"/>
        <w:rPr>
          <w:rFonts w:hint="default"/>
          <w:color w:val="000000" w:themeColor="text1"/>
        </w:rPr>
      </w:pPr>
      <w:r>
        <w:rPr>
          <w:rFonts w:hint="eastAsia"/>
          <w:color w:val="000000" w:themeColor="text1"/>
        </w:rPr>
        <w:t>○　高齢者見守りサービス</w:t>
      </w:r>
      <w:r>
        <w:rPr>
          <w:rFonts w:hint="eastAsia"/>
          <w:color w:val="000000"/>
        </w:rPr>
        <w:t>otta</w:t>
      </w:r>
      <w:r>
        <w:rPr>
          <w:rFonts w:hint="eastAsia"/>
          <w:color w:val="000000" w:themeColor="text1"/>
        </w:rPr>
        <w:t>の利用促進と</w:t>
      </w:r>
      <w:r>
        <w:rPr>
          <w:rFonts w:hint="eastAsia"/>
          <w:color w:val="000000" w:themeColor="text1"/>
        </w:rPr>
        <w:t>otta</w:t>
      </w:r>
      <w:r>
        <w:rPr>
          <w:rFonts w:hint="eastAsia"/>
          <w:color w:val="000000" w:themeColor="text1"/>
        </w:rPr>
        <w:t>の検知器となるアプリをインストールした見守り人の協力拡大を図り、高齢者の見守りの網をより細かくします。</w:t>
      </w:r>
    </w:p>
    <w:p>
      <w:pPr>
        <w:pStyle w:val="0"/>
        <w:ind w:left="480" w:leftChars="100" w:hanging="240" w:hangingChars="100"/>
        <w:jc w:val="both"/>
        <w:rPr>
          <w:rFonts w:hint="default"/>
          <w:color w:val="000000" w:themeColor="text1"/>
        </w:rPr>
      </w:pPr>
      <w:r>
        <w:rPr>
          <w:rFonts w:hint="eastAsia"/>
          <w:color w:val="000000" w:themeColor="text1"/>
        </w:rPr>
        <w:t>○　認知症のかたへの接し方や声かけの方法など、実践的な見守りができることを目的とした、「認知症高齢者等への声かけ訓練」をすべての小学校区で実施し、認知症のかたに対する適切な接し方の理解の促進を図ります。</w:t>
      </w:r>
    </w:p>
    <w:p>
      <w:pPr>
        <w:pStyle w:val="5"/>
        <w:ind w:left="0" w:leftChars="0" w:firstLine="240" w:firstLineChars="100"/>
        <w:jc w:val="both"/>
        <w:rPr>
          <w:rFonts w:hint="default" w:ascii="ＭＳ ゴシック" w:hAnsi="ＭＳ ゴシック" w:eastAsia="ＭＳ ゴシック"/>
        </w:rPr>
      </w:pPr>
      <w:bookmarkStart w:id="26" w:name="_Toc59007844"/>
      <w:r>
        <w:rPr>
          <w:rFonts w:hint="eastAsia" w:ascii="ＭＳ ゴシック" w:hAnsi="ＭＳ ゴシック" w:eastAsia="ＭＳ ゴシック"/>
        </w:rPr>
        <w:t>イ）認知症サポーターの養成・活用</w:t>
      </w:r>
      <w:bookmarkEnd w:id="26"/>
    </w:p>
    <w:p>
      <w:pPr>
        <w:pStyle w:val="0"/>
        <w:ind w:left="480" w:leftChars="100" w:hanging="240" w:hangingChars="100"/>
        <w:jc w:val="both"/>
        <w:rPr>
          <w:rFonts w:hint="default"/>
          <w:color w:val="000000" w:themeColor="text1"/>
        </w:rPr>
      </w:pPr>
      <w:r>
        <w:rPr>
          <w:rFonts w:hint="eastAsia"/>
          <w:color w:val="000000" w:themeColor="text1"/>
        </w:rPr>
        <w:t>○　地域で見守るかたを増やすため、「認知症サポーター」の養成と、認知症サポーターを養成する講師となる「認知症キャラバン・メイト」の養成を引き続き実施します。</w:t>
      </w:r>
    </w:p>
    <w:p>
      <w:pPr>
        <w:pStyle w:val="0"/>
        <w:ind w:left="480" w:leftChars="100" w:hanging="240" w:hangingChars="100"/>
        <w:jc w:val="both"/>
        <w:rPr>
          <w:rFonts w:hint="default"/>
          <w:color w:val="000000" w:themeColor="text1"/>
        </w:rPr>
      </w:pPr>
      <w:r>
        <w:rPr>
          <w:rFonts w:hint="eastAsia"/>
          <w:color w:val="000000" w:themeColor="text1"/>
        </w:rPr>
        <w:t>○　地域で暮らす認知症のかたや家族の困りごとの支援ニーズに認知症サポーターが関</w:t>
      </w:r>
      <w:r>
        <w:rPr>
          <w:rFonts w:hint="eastAsia"/>
        </w:rPr>
        <w:t>わる新たな仕組み（チームオレンジ）の構築を検討し、地域</w:t>
      </w:r>
      <w:r>
        <w:rPr>
          <w:rFonts w:hint="eastAsia"/>
          <w:color w:val="000000" w:themeColor="text1"/>
        </w:rPr>
        <w:t>で見守る体制を強化します。</w:t>
      </w:r>
    </w:p>
    <w:p>
      <w:pPr>
        <w:pStyle w:val="44"/>
        <w:ind w:left="626" w:firstLineChars="0"/>
        <w:rPr>
          <w:rFonts w:hint="default"/>
          <w:b w:val="0"/>
          <w:sz w:val="24"/>
        </w:rPr>
      </w:pPr>
    </w:p>
    <w:p>
      <w:pPr>
        <w:pStyle w:val="5"/>
        <w:ind w:left="0" w:leftChars="0" w:firstLine="240" w:firstLineChars="100"/>
        <w:jc w:val="both"/>
        <w:rPr>
          <w:rFonts w:hint="default" w:ascii="ＭＳ ゴシック" w:hAnsi="ＭＳ ゴシック" w:eastAsia="ＭＳ ゴシック"/>
        </w:rPr>
      </w:pPr>
      <w:bookmarkStart w:id="27" w:name="_Toc59007845"/>
      <w:r>
        <w:rPr>
          <w:rFonts w:hint="eastAsia" w:ascii="ＭＳ ゴシック" w:hAnsi="ＭＳ ゴシック" w:eastAsia="ＭＳ ゴシック"/>
        </w:rPr>
        <w:t>ウ）認知症のかたの交流場所の確保</w:t>
      </w:r>
      <w:bookmarkEnd w:id="27"/>
    </w:p>
    <w:p>
      <w:pPr>
        <w:pStyle w:val="0"/>
        <w:ind w:left="480" w:leftChars="100" w:hanging="240" w:hangingChars="100"/>
        <w:jc w:val="both"/>
        <w:rPr>
          <w:rFonts w:hint="default"/>
        </w:rPr>
      </w:pPr>
      <w:r>
        <w:rPr>
          <w:rFonts w:hint="eastAsia"/>
        </w:rPr>
        <w:t>○　認知症高齢者等と家族が気軽に外出できるように、認知症カフェやコミュニティカフェの小学校区ごとの設置をめざします。また、既存のカフェに対しては、月１回以上の定期開催ができるように支援に努めます。</w:t>
      </w:r>
    </w:p>
    <w:p>
      <w:pPr>
        <w:pStyle w:val="0"/>
        <w:ind w:left="240" w:hanging="240" w:hangingChars="100"/>
        <w:jc w:val="both"/>
        <w:rPr>
          <w:rFonts w:hint="default"/>
          <w:b w:val="1"/>
        </w:rPr>
      </w:pPr>
      <w:r>
        <w:rPr>
          <w:rFonts w:hint="eastAsia"/>
        </w:rPr>
        <w:t>　</w:t>
      </w:r>
    </w:p>
    <w:p>
      <w:pPr>
        <w:pStyle w:val="5"/>
        <w:ind w:left="0" w:leftChars="0" w:firstLine="240" w:firstLineChars="100"/>
        <w:jc w:val="both"/>
        <w:rPr>
          <w:rFonts w:hint="default" w:ascii="ＭＳ ゴシック" w:hAnsi="ＭＳ ゴシック" w:eastAsia="ＭＳ ゴシック"/>
        </w:rPr>
      </w:pPr>
      <w:bookmarkStart w:id="28" w:name="_Toc59007846"/>
      <w:r>
        <w:rPr>
          <w:rFonts w:hint="eastAsia" w:ascii="ＭＳ ゴシック" w:hAnsi="ＭＳ ゴシック" w:eastAsia="ＭＳ ゴシック"/>
        </w:rPr>
        <w:t>エ）</w:t>
      </w:r>
      <w:r>
        <w:rPr>
          <w:rFonts w:hint="eastAsia" w:ascii="ＭＳ ゴシック" w:hAnsi="ＭＳ ゴシック" w:eastAsia="ＭＳ ゴシック"/>
          <w:color w:val="000000" w:themeColor="text1"/>
        </w:rPr>
        <w:t>認知症のかたの本人発信支援</w:t>
      </w:r>
      <w:bookmarkEnd w:id="28"/>
    </w:p>
    <w:p>
      <w:pPr>
        <w:pStyle w:val="0"/>
        <w:ind w:left="480" w:hanging="480" w:hangingChars="200"/>
        <w:jc w:val="both"/>
        <w:rPr>
          <w:rFonts w:hint="default"/>
          <w:color w:val="000000" w:themeColor="text1"/>
        </w:rPr>
      </w:pPr>
      <w:r>
        <w:rPr>
          <w:rFonts w:hint="eastAsia"/>
          <w:color w:val="000000" w:themeColor="text1"/>
        </w:rPr>
        <w:t>　○　認知症のかたが本当に必要とする地域のありかたや支援のよりよいありかたを考えるために、本人からの気づきや意見等についての発信を支援します。</w:t>
      </w:r>
    </w:p>
    <w:p>
      <w:pPr>
        <w:pStyle w:val="0"/>
        <w:ind w:left="240" w:hanging="240" w:hangingChars="100"/>
        <w:jc w:val="both"/>
        <w:rPr>
          <w:rFonts w:hint="default"/>
          <w:color w:val="000000" w:themeColor="text1"/>
        </w:rPr>
      </w:pPr>
    </w:p>
    <w:p>
      <w:pPr>
        <w:pStyle w:val="5"/>
        <w:ind w:left="0" w:leftChars="0" w:firstLine="240" w:firstLineChars="100"/>
        <w:jc w:val="both"/>
        <w:rPr>
          <w:rFonts w:hint="default" w:ascii="ＭＳ ゴシック" w:hAnsi="ＭＳ ゴシック" w:eastAsia="ＭＳ ゴシック"/>
          <w:color w:val="000000" w:themeColor="text1"/>
        </w:rPr>
      </w:pPr>
      <w:bookmarkStart w:id="29" w:name="_Toc59007847"/>
      <w:r>
        <w:rPr>
          <w:rFonts w:hint="eastAsia" w:ascii="ＭＳ ゴシック" w:hAnsi="ＭＳ ゴシック" w:eastAsia="ＭＳ ゴシック"/>
          <w:color w:val="000000" w:themeColor="text1"/>
        </w:rPr>
        <w:t>オ）家族介護者支援</w:t>
      </w:r>
      <w:bookmarkEnd w:id="29"/>
    </w:p>
    <w:p>
      <w:pPr>
        <w:pStyle w:val="0"/>
        <w:ind w:left="480" w:leftChars="100" w:hanging="240" w:hangingChars="100"/>
        <w:jc w:val="both"/>
        <w:rPr>
          <w:rFonts w:hint="default"/>
          <w:color w:val="000000" w:themeColor="text1"/>
        </w:rPr>
      </w:pPr>
      <w:r>
        <w:rPr>
          <w:rFonts w:hint="eastAsia"/>
          <w:color w:val="000000" w:themeColor="text1"/>
        </w:rPr>
        <w:t>○　男性介護者のつどいやびわの会などの認知症の家族会に対し、引き続き支援を行います。</w:t>
      </w:r>
    </w:p>
    <w:p>
      <w:pPr>
        <w:pStyle w:val="0"/>
        <w:rPr>
          <w:rFonts w:hint="default"/>
        </w:rPr>
      </w:pPr>
    </w:p>
    <w:p>
      <w:pPr>
        <w:pStyle w:val="0"/>
        <w:rPr>
          <w:rFonts w:hint="default"/>
        </w:rPr>
      </w:pPr>
    </w:p>
    <w:p>
      <w:pPr>
        <w:pStyle w:val="0"/>
        <w:rPr>
          <w:rFonts w:hint="default"/>
        </w:rPr>
      </w:pPr>
    </w:p>
    <w:p>
      <w:pPr>
        <w:pStyle w:val="0"/>
        <w:rPr>
          <w:rFonts w:hint="default"/>
        </w:rPr>
      </w:pPr>
      <w:bookmarkStart w:id="30" w:name="_Toc512263476"/>
      <w:bookmarkEnd w:id="30"/>
      <w:bookmarkStart w:id="31" w:name="_Toc512263477"/>
      <w:bookmarkEnd w:id="31"/>
      <w:bookmarkStart w:id="32" w:name="_Toc512263478"/>
      <w:bookmarkEnd w:id="32"/>
      <w:bookmarkStart w:id="33" w:name="_Toc512263479"/>
      <w:bookmarkEnd w:id="33"/>
      <w:bookmarkStart w:id="34" w:name="_Toc512263480"/>
      <w:bookmarkEnd w:id="34"/>
      <w:bookmarkStart w:id="35" w:name="_Toc512263481"/>
      <w:bookmarkEnd w:id="35"/>
      <w:bookmarkStart w:id="36" w:name="_Toc512263482"/>
      <w:bookmarkEnd w:id="36"/>
      <w:bookmarkStart w:id="37" w:name="_Toc512263483"/>
      <w:bookmarkEnd w:id="37"/>
      <w:bookmarkStart w:id="38" w:name="_Toc512263484"/>
      <w:bookmarkEnd w:id="38"/>
      <w:bookmarkStart w:id="39" w:name="_Toc512263485"/>
      <w:bookmarkEnd w:id="39"/>
      <w:bookmarkStart w:id="40" w:name="_Toc512263486"/>
      <w:bookmarkEnd w:id="40"/>
      <w:bookmarkStart w:id="41" w:name="_Toc512263487"/>
      <w:bookmarkEnd w:id="41"/>
      <w:bookmarkStart w:id="42" w:name="_Toc512263489"/>
      <w:bookmarkEnd w:id="42"/>
      <w:bookmarkStart w:id="43" w:name="_Toc512263490"/>
      <w:bookmarkEnd w:id="43"/>
      <w:bookmarkStart w:id="44" w:name="_Toc512263491"/>
      <w:bookmarkEnd w:id="44"/>
      <w:bookmarkStart w:id="45" w:name="_Toc512263492"/>
      <w:bookmarkEnd w:id="45"/>
      <w:bookmarkStart w:id="46" w:name="_Toc512263493"/>
      <w:bookmarkEnd w:id="46"/>
      <w:bookmarkStart w:id="47" w:name="_Toc512263494"/>
      <w:bookmarkEnd w:id="47"/>
      <w:bookmarkStart w:id="48" w:name="_Toc512263495"/>
      <w:bookmarkEnd w:id="48"/>
      <w:bookmarkStart w:id="49" w:name="_Toc417551024"/>
      <w:bookmarkEnd w:id="49"/>
      <w:bookmarkStart w:id="50" w:name="_Toc417551028"/>
      <w:bookmarkEnd w:id="50"/>
      <w:bookmarkStart w:id="51" w:name="_Toc417551033"/>
      <w:bookmarkEnd w:id="51"/>
      <w:bookmarkStart w:id="52" w:name="_Toc417551034"/>
      <w:bookmarkEnd w:id="52"/>
      <w:bookmarkStart w:id="53" w:name="_Toc512263496"/>
      <w:bookmarkEnd w:id="53"/>
      <w:bookmarkStart w:id="54" w:name="_Toc512263497"/>
      <w:bookmarkEnd w:id="54"/>
      <w:bookmarkStart w:id="55" w:name="_Toc512263498"/>
      <w:bookmarkEnd w:id="55"/>
      <w:bookmarkStart w:id="56" w:name="_Toc512263499"/>
      <w:bookmarkEnd w:id="56"/>
      <w:bookmarkStart w:id="57" w:name="_Toc512263502"/>
      <w:bookmarkEnd w:id="57"/>
      <w:bookmarkStart w:id="58" w:name="_Toc512263512"/>
      <w:bookmarkEnd w:id="58"/>
      <w:bookmarkStart w:id="59" w:name="_Toc512263519"/>
      <w:bookmarkEnd w:id="59"/>
    </w:p>
    <w:sectPr>
      <w:footerReference r:id="rId5" w:type="default"/>
      <w:pgSz w:w="11906" w:h="16838"/>
      <w:pgMar w:top="1440" w:right="1080" w:bottom="1440" w:left="1080" w:header="851" w:footer="454" w:gutter="0"/>
      <w:pgNumType w:start="11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118</w:t>
        </w:r>
        <w:r>
          <w:rPr>
            <w:rFonts w:hint="eastAsia"/>
          </w:rPr>
          <w:fldChar w:fldCharType="end"/>
        </w:r>
      </w:p>
    </w:sdtContent>
  </w:sdt>
  <w:p>
    <w:pPr>
      <w:pStyle w:val="0"/>
      <w:rPr>
        <w:rFonts w:hint="eastAsia"/>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spacing w:line="0" w:lineRule="atLeast"/>
        <w:rPr>
          <w:rFonts w:hint="default"/>
        </w:rPr>
      </w:pPr>
      <w:r>
        <w:rPr>
          <w:rFonts w:hint="eastAsia"/>
          <w:sz w:val="18"/>
        </w:rPr>
        <w:t>※</w:t>
      </w:r>
      <w:r>
        <w:rPr>
          <w:rStyle w:val="42"/>
          <w:rFonts w:hint="default"/>
          <w:sz w:val="18"/>
          <w:vertAlign w:val="baseline"/>
        </w:rPr>
        <w:footnoteRef/>
      </w:r>
      <w:r>
        <w:rPr>
          <w:rStyle w:val="42"/>
          <w:rFonts w:hint="eastAsia"/>
          <w:sz w:val="18"/>
          <w:vertAlign w:val="baseline"/>
        </w:rPr>
        <w:t>　</w:t>
      </w:r>
      <w:r>
        <w:rPr>
          <w:rFonts w:hint="default"/>
          <w:sz w:val="18"/>
        </w:rPr>
        <w:t>物忘れが主たる症状だが、日常生活への影響はほとんどなく、認知症とは診断できない状態のことで、正常と認知症の中間ともいえる状態。記憶力に障害があって物忘れの自覚があるが、記憶力の低下以外に明らかな認知機能の障害がみられず、日常生活への影響はないかあっても軽度のものである場合。</w:t>
      </w:r>
      <w:r>
        <w:rPr>
          <w:rFonts w:hint="eastAsia"/>
          <w:sz w:val="18"/>
        </w:rPr>
        <w:t>ＭＣＩとは、「</w:t>
      </w:r>
      <w:r>
        <w:rPr>
          <w:rFonts w:hint="default"/>
          <w:sz w:val="18"/>
        </w:rPr>
        <w:t>Mild Cognitive Impairment</w:t>
      </w:r>
      <w:r>
        <w:rPr>
          <w:rFonts w:hint="default"/>
          <w:sz w:val="18"/>
        </w:rPr>
        <w:t>」の略。</w:t>
      </w:r>
    </w:p>
  </w:footnote>
  <w:footnote w:id="2">
    <w:p>
      <w:pPr>
        <w:pStyle w:val="55"/>
        <w:rPr>
          <w:rFonts w:hint="default"/>
        </w:rPr>
      </w:pPr>
      <w:r>
        <w:rPr>
          <w:rFonts w:hint="eastAsia"/>
          <w:sz w:val="18"/>
        </w:rPr>
        <w:t>※</w:t>
      </w:r>
      <w:r>
        <w:rPr>
          <w:rStyle w:val="42"/>
          <w:rFonts w:hint="default"/>
          <w:sz w:val="18"/>
          <w:vertAlign w:val="baseline"/>
        </w:rPr>
        <w:footnoteRef/>
      </w:r>
      <w:r>
        <w:rPr>
          <w:rFonts w:hint="eastAsia"/>
          <w:sz w:val="18"/>
        </w:rPr>
        <w:t>　認知症の状態に応じた適切なサービス提供の流れを示したもの。日常生活圏域において、認知症を有する高齢者等がどのような状態にあっても対応できるサービス基盤を構築し、的確なコーディネートがなされる体制をシステム化する地域環境を具体化するツール。</w:t>
      </w:r>
    </w:p>
  </w:footnote>
</w:footnote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footnotes" Target="footnotes.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9566</TotalTime>
  <Pages>4</Pages>
  <Words>10</Words>
  <Characters>2630</Characters>
  <Application>JUST Note</Application>
  <Lines>219</Lines>
  <Paragraphs>41</Paragraphs>
  <CharactersWithSpaces>2682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2020-12-28T01:51:31Z</dcterms:modified>
  <cp:revision>687</cp:revision>
</cp:coreProperties>
</file>