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rPr>
          <w:rFonts w:hint="default"/>
        </w:rPr>
      </w:pPr>
      <w:bookmarkStart w:id="0" w:name="_Toc59007733"/>
      <w:r>
        <w:rPr>
          <w:rFonts w:hint="eastAsia"/>
        </w:rPr>
        <w:drawing>
          <wp:anchor distT="0" distB="0" distL="114300" distR="114300" simplePos="0" relativeHeight="2" behindDoc="0" locked="0" layoutInCell="1" hidden="0" allowOverlap="1">
            <wp:simplePos x="0" y="0"/>
            <wp:positionH relativeFrom="column">
              <wp:posOffset>0</wp:posOffset>
            </wp:positionH>
            <wp:positionV relativeFrom="paragraph">
              <wp:posOffset>-431800</wp:posOffset>
            </wp:positionV>
            <wp:extent cx="6188710" cy="837565"/>
            <wp:effectExtent l="0" t="0" r="0" b="0"/>
            <wp:wrapNone/>
            <wp:docPr id="1026" name="1-1.bmp"/>
            <a:graphic xmlns:a="http://schemas.openxmlformats.org/drawingml/2006/main">
              <a:graphicData uri="http://schemas.openxmlformats.org/drawingml/2006/picture">
                <pic:pic xmlns:pic="http://schemas.openxmlformats.org/drawingml/2006/picture">
                  <pic:nvPicPr>
                    <pic:cNvPr id="1026" name="1-1.bmp"/>
                    <pic:cNvPicPr/>
                  </pic:nvPicPr>
                  <pic:blipFill>
                    <a:blip r:embed="rId7"/>
                    <a:stretch>
                      <a:fillRect/>
                    </a:stretch>
                  </pic:blipFill>
                  <pic:spPr>
                    <a:xfrm>
                      <a:off x="0" y="0"/>
                      <a:ext cx="6188710" cy="837565"/>
                    </a:xfrm>
                    <a:prstGeom prst="rect">
                      <a:avLst/>
                    </a:prstGeom>
                  </pic:spPr>
                </pic:pic>
              </a:graphicData>
            </a:graphic>
          </wp:anchor>
        </w:drawing>
      </w:r>
      <w:bookmarkStart w:id="1" w:name="_GoBack"/>
      <w:bookmarkEnd w:id="1"/>
      <w:r>
        <w:rPr>
          <w:rFonts w:hint="eastAsia"/>
        </w:rPr>
        <w:t>第１章　計画の概要</w:t>
      </w:r>
      <w:bookmarkEnd w:id="0"/>
    </w:p>
    <w:p>
      <w:pPr>
        <w:pStyle w:val="3"/>
        <w:ind w:left="0" w:leftChars="0"/>
        <w:rPr>
          <w:rFonts w:hint="default" w:ascii="メイリオ" w:hAnsi="メイリオ" w:eastAsia="メイリオ"/>
          <w:b w:val="1"/>
          <w:sz w:val="28"/>
          <w:u w:val="single" w:color="auto"/>
        </w:rPr>
      </w:pPr>
      <w:bookmarkStart w:id="2" w:name="_Toc59007734"/>
      <w:r>
        <w:rPr>
          <w:rFonts w:hint="eastAsia" w:ascii="メイリオ" w:hAnsi="メイリオ" w:eastAsia="メイリオ"/>
          <w:b w:val="1"/>
          <w:sz w:val="32"/>
          <w:u w:val="single" w:color="auto"/>
        </w:rPr>
        <w:t>１．計画策定の趣旨と背景</w:t>
      </w:r>
      <w:bookmarkEnd w:id="2"/>
      <w:r>
        <w:rPr>
          <w:rFonts w:hint="eastAsia" w:ascii="メイリオ" w:hAnsi="メイリオ" w:eastAsia="メイリオ"/>
          <w:b w:val="1"/>
          <w:sz w:val="28"/>
          <w:u w:val="single" w:color="auto"/>
        </w:rPr>
        <w:t>　　　　　　　　　　　　　　　　　　　　　　　　　　　　</w:t>
      </w:r>
    </w:p>
    <w:p>
      <w:pPr>
        <w:pStyle w:val="0"/>
        <w:ind w:firstLine="240" w:firstLineChars="100"/>
        <w:jc w:val="both"/>
        <w:rPr>
          <w:rFonts w:hint="default"/>
        </w:rPr>
      </w:pPr>
      <w:r>
        <w:rPr>
          <w:rFonts w:hint="eastAsia"/>
        </w:rPr>
        <w:t>わが国の総人口は、令和元年</w:t>
      </w:r>
      <w:r>
        <w:rPr>
          <w:rFonts w:hint="default"/>
        </w:rPr>
        <w:t>(2019</w:t>
      </w:r>
      <w:r>
        <w:rPr>
          <w:rFonts w:hint="default"/>
        </w:rPr>
        <w:t>年</w:t>
      </w:r>
      <w:r>
        <w:rPr>
          <w:rFonts w:hint="default"/>
        </w:rPr>
        <w:t>)10</w:t>
      </w:r>
      <w:r>
        <w:rPr>
          <w:rFonts w:hint="default"/>
        </w:rPr>
        <w:t>月１日現在、１億</w:t>
      </w:r>
      <w:r>
        <w:rPr>
          <w:rFonts w:hint="default"/>
        </w:rPr>
        <w:t>2,617</w:t>
      </w:r>
      <w:r>
        <w:rPr>
          <w:rFonts w:hint="default"/>
        </w:rPr>
        <w:t>万人となっており、</w:t>
      </w:r>
      <w:r>
        <w:rPr>
          <w:rFonts w:hint="default"/>
        </w:rPr>
        <w:t>65</w:t>
      </w:r>
      <w:r>
        <w:rPr>
          <w:rFonts w:hint="default"/>
        </w:rPr>
        <w:t>歳以上の高齢者人口は</w:t>
      </w:r>
      <w:r>
        <w:rPr>
          <w:rFonts w:hint="default"/>
        </w:rPr>
        <w:t>3,589</w:t>
      </w:r>
      <w:r>
        <w:rPr>
          <w:rFonts w:hint="default"/>
        </w:rPr>
        <w:t>万人、総人口に占める高齢者人口の割合（高齢化率）</w:t>
      </w:r>
      <w:r>
        <w:rPr>
          <w:rFonts w:hint="eastAsia"/>
        </w:rPr>
        <w:t>は</w:t>
      </w:r>
      <w:r>
        <w:rPr>
          <w:rFonts w:hint="default"/>
        </w:rPr>
        <w:t>28.4</w:t>
      </w:r>
      <w:r>
        <w:rPr>
          <w:rFonts w:hint="default"/>
        </w:rPr>
        <w:t>％となっています。</w:t>
      </w:r>
    </w:p>
    <w:p>
      <w:pPr>
        <w:pStyle w:val="0"/>
        <w:ind w:firstLine="240" w:firstLineChars="100"/>
        <w:jc w:val="both"/>
        <w:rPr>
          <w:rFonts w:hint="default"/>
        </w:rPr>
      </w:pPr>
      <w:r>
        <w:rPr>
          <w:rFonts w:hint="eastAsia"/>
        </w:rPr>
        <w:t>高齢者人口は、令和</w:t>
      </w:r>
      <w:r>
        <w:rPr>
          <w:rFonts w:hint="eastAsia"/>
        </w:rPr>
        <w:t>24</w:t>
      </w:r>
      <w:r>
        <w:rPr>
          <w:rFonts w:hint="eastAsia"/>
        </w:rPr>
        <w:t>年</w:t>
      </w:r>
      <w:r>
        <w:rPr>
          <w:rFonts w:hint="default"/>
        </w:rPr>
        <w:t>(204</w:t>
      </w:r>
      <w:r>
        <w:rPr>
          <w:rFonts w:hint="eastAsia"/>
        </w:rPr>
        <w:t>2</w:t>
      </w:r>
      <w:r>
        <w:rPr>
          <w:rFonts w:hint="default"/>
        </w:rPr>
        <w:t>年</w:t>
      </w:r>
      <w:r>
        <w:rPr>
          <w:rFonts w:hint="eastAsia"/>
        </w:rPr>
        <w:t>)</w:t>
      </w:r>
      <w:r>
        <w:rPr>
          <w:rFonts w:hint="default"/>
        </w:rPr>
        <w:t>にピークを迎えるとされる中、</w:t>
      </w:r>
      <w:r>
        <w:rPr>
          <w:rFonts w:hint="eastAsia"/>
        </w:rPr>
        <w:t>令和７</w:t>
      </w:r>
      <w:r>
        <w:rPr>
          <w:rFonts w:hint="default"/>
        </w:rPr>
        <w:t>年</w:t>
      </w:r>
      <w:r>
        <w:rPr>
          <w:rFonts w:hint="eastAsia"/>
        </w:rPr>
        <w:t>(2025</w:t>
      </w:r>
      <w:r>
        <w:rPr>
          <w:rFonts w:hint="eastAsia"/>
        </w:rPr>
        <w:t>年</w:t>
      </w:r>
      <w:r>
        <w:rPr>
          <w:rFonts w:hint="eastAsia"/>
        </w:rPr>
        <w:t>)</w:t>
      </w:r>
      <w:r>
        <w:rPr>
          <w:rFonts w:hint="default"/>
        </w:rPr>
        <w:t>以降は「高齢者の急増」から「現役世代人口の急減」に局面が変化する</w:t>
      </w:r>
      <w:r>
        <w:rPr>
          <w:rFonts w:hint="eastAsia"/>
        </w:rPr>
        <w:t>と見込まれており、</w:t>
      </w:r>
      <w:r>
        <w:rPr>
          <w:rFonts w:hint="default"/>
        </w:rPr>
        <w:t>社会活力を維持・向上するためには、現役世代人口が急減する中で、高齢者をはじめとする多様な就労・社会参加を促進するための「健康寿命の延伸」や労働力の制約が強まる中での「医療・介護サービスの確保」</w:t>
      </w:r>
      <w:r>
        <w:rPr>
          <w:rFonts w:hint="eastAsia"/>
        </w:rPr>
        <w:t>が求められています。</w:t>
      </w:r>
    </w:p>
    <w:p>
      <w:pPr>
        <w:pStyle w:val="0"/>
        <w:ind w:firstLine="240" w:firstLineChars="100"/>
        <w:jc w:val="both"/>
        <w:rPr>
          <w:rFonts w:hint="default"/>
        </w:rPr>
      </w:pPr>
      <w:r>
        <w:rPr>
          <w:rFonts w:hint="eastAsia"/>
        </w:rPr>
        <w:t>また、地域共生社会の実現を図るため、令和２年</w:t>
      </w:r>
      <w:r>
        <w:rPr>
          <w:rFonts w:hint="eastAsia"/>
        </w:rPr>
        <w:t>(</w:t>
      </w:r>
      <w:r>
        <w:rPr>
          <w:rFonts w:hint="default"/>
        </w:rPr>
        <w:t>2020</w:t>
      </w:r>
      <w:r>
        <w:rPr>
          <w:rFonts w:hint="eastAsia"/>
        </w:rPr>
        <w:t>年</w:t>
      </w:r>
      <w:r>
        <w:rPr>
          <w:rFonts w:hint="default"/>
        </w:rPr>
        <w:t>)</w:t>
      </w:r>
      <w:r>
        <w:rPr>
          <w:rFonts w:hint="eastAsia"/>
        </w:rPr>
        <w:t>６月</w:t>
      </w:r>
      <w:r>
        <w:rPr>
          <w:rFonts w:hint="default"/>
        </w:rPr>
        <w:t>には</w:t>
      </w:r>
      <w:r>
        <w:rPr>
          <w:rFonts w:hint="eastAsia"/>
        </w:rPr>
        <w:t>「地域共生社会の実現のための社会福祉法等の一部を改正する法律」</w:t>
      </w:r>
      <w:r>
        <w:rPr>
          <w:rFonts w:hint="default"/>
        </w:rPr>
        <w:t>が成立し、</w:t>
      </w:r>
      <w:r>
        <w:rPr>
          <w:rFonts w:hint="eastAsia"/>
        </w:rPr>
        <w:t>地域</w:t>
      </w:r>
      <w:r>
        <w:rPr>
          <w:rFonts w:hint="default"/>
        </w:rPr>
        <w:t>住民の複雑化・複合化した支援ニーズに対応する包括的な福祉サービス提供体制を整備する観点</w:t>
      </w:r>
      <w:r>
        <w:rPr>
          <w:rFonts w:hint="eastAsia"/>
        </w:rPr>
        <w:t>から、市町村の包括的な支援</w:t>
      </w:r>
      <w:r>
        <w:rPr>
          <w:rFonts w:hint="default"/>
        </w:rPr>
        <w:t>体制の構築の支援、地域の特性に応じた認知症施策や介護サービス提供体制の整備等の推進、医療・介護の</w:t>
      </w:r>
      <w:r>
        <w:rPr>
          <w:rFonts w:hint="eastAsia"/>
        </w:rPr>
        <w:t>データ基盤の整備の推進</w:t>
      </w:r>
      <w:r>
        <w:rPr>
          <w:rFonts w:hint="default"/>
        </w:rPr>
        <w:t>、介護人材確保及び業務効率化の取組の強化、社会福祉連携推進法人制度の創設等</w:t>
      </w:r>
      <w:r>
        <w:rPr>
          <w:rFonts w:hint="eastAsia"/>
        </w:rPr>
        <w:t>が実施されます。</w:t>
      </w:r>
    </w:p>
    <w:p>
      <w:pPr>
        <w:pStyle w:val="0"/>
        <w:jc w:val="both"/>
        <w:rPr>
          <w:rFonts w:hint="default"/>
        </w:rPr>
      </w:pPr>
      <w:r>
        <w:rPr>
          <w:rFonts w:hint="eastAsia"/>
        </w:rPr>
        <w:t>　以上のような動向をふまえながら、第７期計画の取組を継承しつつ、市内で生活するすべての高齢者が、生きがいを持って安心して生活できる環境を実現するために、「第８期高齢者保健福祉計画・介護保険事業計画」（以下、「本計画」という。）を策定するものです。</w:t>
      </w:r>
    </w:p>
    <w:p>
      <w:pPr>
        <w:pStyle w:val="0"/>
        <w:rPr>
          <w:rFonts w:hint="default"/>
        </w:rPr>
      </w:pPr>
    </w:p>
    <w:p>
      <w:pPr>
        <w:pStyle w:val="3"/>
        <w:ind w:left="0" w:leftChars="0"/>
        <w:rPr>
          <w:rFonts w:hint="default" w:ascii="メイリオ" w:hAnsi="メイリオ" w:eastAsia="メイリオ"/>
          <w:b w:val="1"/>
          <w:sz w:val="28"/>
          <w:u w:val="single" w:color="auto"/>
        </w:rPr>
      </w:pPr>
      <w:bookmarkStart w:id="3" w:name="_Toc59007735"/>
      <w:r>
        <w:rPr>
          <w:rFonts w:hint="eastAsia" w:ascii="メイリオ" w:hAnsi="メイリオ" w:eastAsia="メイリオ"/>
          <w:b w:val="1"/>
          <w:sz w:val="32"/>
          <w:u w:val="single" w:color="auto"/>
        </w:rPr>
        <w:t>２．計画の位置付け</w:t>
      </w:r>
      <w:bookmarkEnd w:id="3"/>
      <w:r>
        <w:rPr>
          <w:rFonts w:hint="eastAsia" w:ascii="メイリオ" w:hAnsi="メイリオ" w:eastAsia="メイリオ"/>
          <w:b w:val="1"/>
          <w:sz w:val="28"/>
          <w:u w:val="single" w:color="auto"/>
        </w:rPr>
        <w:t>　　　　　　　　　　　　　　　　　　　　　　　　　　　　　　　　　</w:t>
      </w:r>
    </w:p>
    <w:p>
      <w:pPr>
        <w:pStyle w:val="4"/>
        <w:ind w:left="0" w:leftChars="0"/>
        <w:rPr>
          <w:rFonts w:hint="default" w:ascii="メイリオ" w:hAnsi="メイリオ" w:eastAsia="メイリオ"/>
          <w:b w:val="0"/>
          <w:sz w:val="28"/>
        </w:rPr>
      </w:pPr>
      <w:bookmarkStart w:id="4" w:name="_Toc59007736"/>
      <w:r>
        <w:rPr>
          <w:rFonts w:hint="eastAsia" w:ascii="メイリオ" w:hAnsi="メイリオ" w:eastAsia="メイリオ"/>
          <w:b w:val="0"/>
          <w:sz w:val="28"/>
        </w:rPr>
        <w:t>（１）法的位置付け</w:t>
      </w:r>
      <w:bookmarkEnd w:id="4"/>
    </w:p>
    <w:p>
      <w:pPr>
        <w:pStyle w:val="0"/>
        <w:ind w:firstLine="240" w:firstLineChars="100"/>
        <w:jc w:val="both"/>
        <w:rPr>
          <w:rFonts w:hint="default"/>
        </w:rPr>
      </w:pPr>
      <w:r>
        <w:rPr>
          <w:rFonts w:hint="eastAsia"/>
        </w:rPr>
        <w:t>本計画は、本市における高齢者保健福祉事業及び介護保険事業の方向性と、これら各事業の円滑な実施、推進に資することを目的として策定する計画で、老人福祉法（昭和</w:t>
      </w:r>
      <w:r>
        <w:rPr>
          <w:rFonts w:hint="default"/>
        </w:rPr>
        <w:t>38</w:t>
      </w:r>
      <w:r>
        <w:rPr>
          <w:rFonts w:hint="default"/>
        </w:rPr>
        <w:t>年法律第</w:t>
      </w:r>
      <w:r>
        <w:rPr>
          <w:rFonts w:hint="default"/>
        </w:rPr>
        <w:t>133</w:t>
      </w:r>
      <w:r>
        <w:rPr>
          <w:rFonts w:hint="default"/>
        </w:rPr>
        <w:t>号）第</w:t>
      </w:r>
      <w:r>
        <w:rPr>
          <w:rFonts w:hint="default"/>
        </w:rPr>
        <w:t>20</w:t>
      </w:r>
      <w:r>
        <w:rPr>
          <w:rFonts w:hint="default"/>
        </w:rPr>
        <w:t>条の８に規定する「老人福祉計画」及び介護保険法（平成９年法律第</w:t>
      </w:r>
      <w:r>
        <w:rPr>
          <w:rFonts w:hint="default"/>
        </w:rPr>
        <w:t>123</w:t>
      </w:r>
      <w:r>
        <w:rPr>
          <w:rFonts w:hint="default"/>
        </w:rPr>
        <w:t>号）第</w:t>
      </w:r>
      <w:r>
        <w:rPr>
          <w:rFonts w:hint="default"/>
        </w:rPr>
        <w:t>117</w:t>
      </w:r>
      <w:r>
        <w:rPr>
          <w:rFonts w:hint="default"/>
        </w:rPr>
        <w:t>条に規定する「介護保険事業計画」を一体的に「高齢者保健福祉計画・介護保険事業計画」として策定します。</w:t>
      </w:r>
    </w:p>
    <w:p>
      <w:pPr>
        <w:pStyle w:val="0"/>
        <w:ind w:firstLine="240" w:firstLineChars="100"/>
        <w:jc w:val="both"/>
        <w:rPr>
          <w:rFonts w:hint="default"/>
        </w:rPr>
      </w:pPr>
      <w:r>
        <w:rPr>
          <w:rFonts w:hint="eastAsia"/>
        </w:rPr>
        <w:t>なお、第３期計画まで一体のものとして策定してきた「老人保健計画」に係る内容については、平成</w:t>
      </w:r>
      <w:r>
        <w:rPr>
          <w:rFonts w:hint="default"/>
        </w:rPr>
        <w:t>20</w:t>
      </w:r>
      <w:r>
        <w:rPr>
          <w:rFonts w:hint="default"/>
        </w:rPr>
        <w:t>年</w:t>
      </w:r>
      <w:r>
        <w:rPr>
          <w:rFonts w:hint="eastAsia"/>
        </w:rPr>
        <w:t>(</w:t>
      </w:r>
      <w:r>
        <w:rPr>
          <w:rFonts w:hint="default"/>
        </w:rPr>
        <w:t>2008</w:t>
      </w:r>
      <w:r>
        <w:rPr>
          <w:rFonts w:hint="default"/>
        </w:rPr>
        <w:t>年</w:t>
      </w:r>
      <w:r>
        <w:rPr>
          <w:rFonts w:hint="eastAsia"/>
        </w:rPr>
        <w:t>)</w:t>
      </w:r>
      <w:r>
        <w:rPr>
          <w:rFonts w:hint="default"/>
        </w:rPr>
        <w:t>４月の老人保健法の改正により、第４期計画以降は、健康増進法（平成</w:t>
      </w:r>
      <w:r>
        <w:rPr>
          <w:rFonts w:hint="default"/>
        </w:rPr>
        <w:t>14</w:t>
      </w:r>
      <w:r>
        <w:rPr>
          <w:rFonts w:hint="default"/>
        </w:rPr>
        <w:t>年法律第</w:t>
      </w:r>
      <w:r>
        <w:rPr>
          <w:rFonts w:hint="default"/>
        </w:rPr>
        <w:t>103</w:t>
      </w:r>
      <w:r>
        <w:rPr>
          <w:rFonts w:hint="default"/>
        </w:rPr>
        <w:t>号）及び高齢者の医療の確保に関する法律（昭和</w:t>
      </w:r>
      <w:r>
        <w:rPr>
          <w:rFonts w:hint="default"/>
        </w:rPr>
        <w:t>57</w:t>
      </w:r>
      <w:r>
        <w:rPr>
          <w:rFonts w:hint="default"/>
        </w:rPr>
        <w:t>年法律第</w:t>
      </w:r>
      <w:r>
        <w:rPr>
          <w:rFonts w:hint="default"/>
        </w:rPr>
        <w:t>80</w:t>
      </w:r>
      <w:r>
        <w:rPr>
          <w:rFonts w:hint="default"/>
        </w:rPr>
        <w:t>号）に基づき施策展開しており、引き続き本計画との連携を図りながら推進するものとします。</w: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page">
                  <wp:posOffset>4402455</wp:posOffset>
                </wp:positionH>
                <wp:positionV relativeFrom="page">
                  <wp:posOffset>9197975</wp:posOffset>
                </wp:positionV>
                <wp:extent cx="2209800" cy="400050"/>
                <wp:effectExtent l="0" t="0" r="635" b="635"/>
                <wp:wrapNone/>
                <wp:docPr id="1027" name="正方形/長方形 34"/>
                <a:graphic xmlns:a="http://schemas.openxmlformats.org/drawingml/2006/main">
                  <a:graphicData uri="http://schemas.microsoft.com/office/word/2010/wordprocessingShape">
                    <wps:wsp>
                      <wps:cNvPr id="1027" name="正方形/長方形 34"/>
                      <wps:cNvSpPr/>
                      <wps:spPr>
                        <a:xfrm>
                          <a:off x="0" y="0"/>
                          <a:ext cx="220980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rPr>
                            </w:pPr>
                            <w:r>
                              <w:rPr>
                                <w:rFonts w:hint="default"/>
                                <w:color w:val="000000"/>
                              </w:rPr>
                              <w:t>を一体的に策定（法定計画）</w:t>
                            </w:r>
                          </w:p>
                        </w:txbxContent>
                      </wps:txbx>
                      <wps:bodyPr rot="0" vertOverflow="overflow" horzOverflow="overflow" wrap="square" numCol="1" spcCol="0" rtlCol="0" fromWordArt="0" anchor="ctr" anchorCtr="0" forceAA="0" compatLnSpc="1"/>
                    </wps:wsp>
                  </a:graphicData>
                </a:graphic>
              </wp:anchor>
            </w:drawing>
          </mc:Choice>
          <mc:Fallback>
            <w:pict>
              <v:rect id="正方形/長方形 34" style="mso-wrap-distance-right:9pt;mso-wrap-distance-bottom:0pt;margin-top:724.25pt;mso-position-vertical-relative:page;mso-position-horizontal-relative:page;v-text-anchor:middle;position:absolute;height:31.5pt;mso-wrap-distance-top:0pt;width:174pt;mso-wrap-distance-left:9pt;margin-left:346.65pt;z-index:3;" o:spid="_x0000_s1027" o:allowincell="t" o:allowoverlap="t" filled="f" stroked="f" strokecolor="#32528f" strokeweight="1pt" o:spt="1">
                <v:fill/>
                <v:stroke linestyle="single" miterlimit="8" endcap="flat" dashstyle="solid"/>
                <v:textbox style="layout-flow:horizontal;">
                  <w:txbxContent>
                    <w:p>
                      <w:pPr>
                        <w:pStyle w:val="0"/>
                        <w:snapToGrid w:val="0"/>
                        <w:jc w:val="center"/>
                        <w:rPr>
                          <w:rFonts w:hint="default"/>
                        </w:rPr>
                      </w:pPr>
                      <w:r>
                        <w:rPr>
                          <w:rFonts w:hint="default"/>
                          <w:color w:val="000000"/>
                        </w:rPr>
                        <w:t>を一体的に策定（法定計画）</w:t>
                      </w:r>
                    </w:p>
                  </w:txbxContent>
                </v:textbox>
                <v:imagedata o:title=""/>
                <w10:wrap type="none" anchorx="page" anchory="page"/>
              </v:rect>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page">
                  <wp:posOffset>4190365</wp:posOffset>
                </wp:positionH>
                <wp:positionV relativeFrom="page">
                  <wp:posOffset>9112250</wp:posOffset>
                </wp:positionV>
                <wp:extent cx="133350" cy="552450"/>
                <wp:effectExtent l="635" t="635" r="31750" b="10795"/>
                <wp:wrapNone/>
                <wp:docPr id="1028" name="右中かっこ 1"/>
                <a:graphic xmlns:a="http://schemas.openxmlformats.org/drawingml/2006/main">
                  <a:graphicData uri="http://schemas.microsoft.com/office/word/2010/wordprocessingShape">
                    <wps:wsp>
                      <wps:cNvPr id="1028" name="右中かっこ 1"/>
                      <wps:cNvSpPr/>
                      <wps:spPr>
                        <a:xfrm>
                          <a:off x="0" y="0"/>
                          <a:ext cx="133350" cy="552450"/>
                        </a:xfrm>
                        <a:prstGeom prst="rightBrace">
                          <a:avLst>
                            <a:gd name="adj1" fmla="val 32915"/>
                            <a:gd name="adj2" fmla="val 50000"/>
                          </a:avLst>
                        </a:prstGeom>
                      </wps:spPr>
                      <wps:style>
                        <a:lnRef idx="1">
                          <a:schemeClr val="dk1"/>
                        </a:lnRef>
                        <a:fillRef idx="0">
                          <a:schemeClr val="dk1"/>
                        </a:fillRef>
                        <a:effectRef idx="0">
                          <a:schemeClr val="dk1"/>
                        </a:effectRef>
                        <a:fontRef idx="minor">
                          <a:schemeClr val="tx1"/>
                        </a:fontRef>
                      </wps:style>
                      <wps:txbx>
                        <w:txbxContent>
                          <w:p>
                            <w:pPr>
                              <w:pStyle w:val="0"/>
                              <w:snapToGrid w:val="0"/>
                              <w:rPr>
                                <w:rFonts w:hint="default"/>
                              </w:rPr>
                            </w:pPr>
                          </w:p>
                        </w:txbxContent>
                      </wps:txbx>
                      <wps:bodyPr vertOverflow="overflow" horzOverflow="overflow" wrap="square"/>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style="mso-wrap-distance-right:9pt;mso-wrap-distance-bottom:0pt;margin-top:717.5pt;mso-position-vertical-relative:page;mso-position-horizontal-relative:page;position:absolute;height:43.5pt;mso-wrap-distance-top:0pt;width:10.5pt;mso-wrap-distance-left:9pt;margin-left:329.95pt;z-index:4;" o:spid="_x0000_s1028" o:allowincell="t" o:allowoverlap="t" filled="f" stroked="t" strokecolor="#000000 [3200]" strokeweight="0.5pt" o:spt="88" type="#_x0000_t88" adj="5400,10800">
                <v:fill/>
                <v:stroke linestyle="single" miterlimit="8" endcap="flat" dashstyle="solid" filltype="solid"/>
                <v:textbox style="layout-flow:horizontal;">
                  <w:txbxContent>
                    <w:p>
                      <w:pPr>
                        <w:pStyle w:val="0"/>
                        <w:snapToGrid w:val="0"/>
                        <w:rPr>
                          <w:rFonts w:hint="default"/>
                        </w:rPr>
                      </w:pPr>
                    </w:p>
                  </w:txbxContent>
                </v:textbox>
                <v:imagedata o:title=""/>
                <w10:wrap type="none" anchorx="page" anchory="page"/>
              </v:shape>
            </w:pict>
          </mc:Fallback>
        </mc:AlternateContent>
      </w:r>
    </w:p>
    <w:p>
      <w:pPr>
        <w:pStyle w:val="0"/>
        <w:jc w:val="center"/>
        <w:rPr>
          <w:rFonts w:hint="default"/>
        </w:rPr>
      </w:pPr>
      <w:r>
        <w:rPr>
          <w:rFonts w:hint="eastAsia"/>
        </w:rPr>
        <mc:AlternateContent>
          <mc:Choice Requires="wps">
            <w:drawing>
              <wp:anchor distT="0" distB="0" distL="114300" distR="114300" simplePos="0" relativeHeight="5" behindDoc="0" locked="0" layoutInCell="1" hidden="0" allowOverlap="1">
                <wp:simplePos x="0" y="0"/>
                <wp:positionH relativeFrom="page">
                  <wp:posOffset>883920</wp:posOffset>
                </wp:positionH>
                <wp:positionV relativeFrom="page">
                  <wp:posOffset>9157335</wp:posOffset>
                </wp:positionV>
                <wp:extent cx="3394075" cy="558800"/>
                <wp:effectExtent l="0" t="0" r="635" b="635"/>
                <wp:wrapNone/>
                <wp:docPr id="1029" name="正方形/長方形 34"/>
                <a:graphic xmlns:a="http://schemas.openxmlformats.org/drawingml/2006/main">
                  <a:graphicData uri="http://schemas.microsoft.com/office/word/2010/wordprocessingShape">
                    <wps:wsp>
                      <wps:cNvPr id="1029" name="正方形/長方形 34"/>
                      <wps:cNvSpPr/>
                      <wps:spPr>
                        <a:xfrm>
                          <a:off x="0" y="0"/>
                          <a:ext cx="3394075" cy="558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both"/>
                              <w:rPr>
                                <w:rFonts w:hint="default"/>
                                <w:color w:val="000000" w:themeColor="text1"/>
                              </w:rPr>
                            </w:pPr>
                            <w:r>
                              <w:rPr>
                                <w:rFonts w:hint="eastAsia"/>
                                <w:color w:val="000000" w:themeColor="text1"/>
                              </w:rPr>
                              <w:t>老人福祉法に規定する「老人福祉計画」</w:t>
                            </w:r>
                          </w:p>
                          <w:p>
                            <w:pPr>
                              <w:pStyle w:val="0"/>
                              <w:snapToGrid w:val="0"/>
                              <w:jc w:val="both"/>
                              <w:rPr>
                                <w:rFonts w:hint="default"/>
                                <w:color w:val="000000" w:themeColor="text1"/>
                              </w:rPr>
                            </w:pPr>
                            <w:r>
                              <w:rPr>
                                <w:rFonts w:hint="eastAsia"/>
                                <w:color w:val="000000" w:themeColor="text1"/>
                              </w:rPr>
                              <w:t>介護保険法に規定する「介護保険事業計画」</w:t>
                            </w:r>
                          </w:p>
                          <w:p>
                            <w:pPr>
                              <w:pStyle w:val="0"/>
                              <w:snapToGrid w:val="0"/>
                              <w:jc w:val="center"/>
                              <w:rPr>
                                <w:rFonts w:hint="default"/>
                                <w:color w:val="000000" w:themeColor="text1"/>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34" style="mso-wrap-distance-right:9pt;mso-wrap-distance-bottom:0pt;margin-top:721.05pt;mso-position-vertical-relative:page;mso-position-horizontal-relative:page;v-text-anchor:middle;position:absolute;height:44pt;mso-wrap-distance-top:0pt;width:267.25pt;mso-wrap-distance-left:9pt;margin-left:69.59pt;z-index:5;" o:spid="_x0000_s1029" o:allowincell="t" o:allowoverlap="t" filled="f" stroked="f" strokecolor="#32528f" strokeweight="1pt" o:spt="1">
                <v:fill/>
                <v:stroke linestyle="single" miterlimit="8" endcap="flat" dashstyle="solid"/>
                <v:textbox style="layout-flow:horizontal;">
                  <w:txbxContent>
                    <w:p>
                      <w:pPr>
                        <w:pStyle w:val="0"/>
                        <w:snapToGrid w:val="0"/>
                        <w:jc w:val="both"/>
                        <w:rPr>
                          <w:rFonts w:hint="default"/>
                          <w:color w:val="000000" w:themeColor="text1"/>
                        </w:rPr>
                      </w:pPr>
                      <w:r>
                        <w:rPr>
                          <w:rFonts w:hint="eastAsia"/>
                          <w:color w:val="000000" w:themeColor="text1"/>
                        </w:rPr>
                        <w:t>老人福祉法に規定する「老人福祉計画」</w:t>
                      </w:r>
                    </w:p>
                    <w:p>
                      <w:pPr>
                        <w:pStyle w:val="0"/>
                        <w:snapToGrid w:val="0"/>
                        <w:jc w:val="both"/>
                        <w:rPr>
                          <w:rFonts w:hint="default"/>
                          <w:color w:val="000000" w:themeColor="text1"/>
                        </w:rPr>
                      </w:pPr>
                      <w:r>
                        <w:rPr>
                          <w:rFonts w:hint="eastAsia"/>
                          <w:color w:val="000000" w:themeColor="text1"/>
                        </w:rPr>
                        <w:t>介護保険法に規定する「介護保険事業計画」</w:t>
                      </w:r>
                    </w:p>
                    <w:p>
                      <w:pPr>
                        <w:pStyle w:val="0"/>
                        <w:snapToGrid w:val="0"/>
                        <w:jc w:val="center"/>
                        <w:rPr>
                          <w:rFonts w:hint="default"/>
                          <w:color w:val="000000" w:themeColor="text1"/>
                        </w:rPr>
                      </w:pPr>
                    </w:p>
                  </w:txbxContent>
                </v:textbox>
                <v:imagedata o:title=""/>
                <w10:wrap type="none" anchorx="page" anchory="page"/>
              </v:rect>
            </w:pict>
          </mc:Fallback>
        </mc:AlternateContent>
      </w:r>
    </w:p>
    <w:p>
      <w:pPr>
        <w:pStyle w:val="4"/>
        <w:ind w:left="0" w:leftChars="0"/>
        <w:rPr>
          <w:rFonts w:hint="default" w:ascii="メイリオ" w:hAnsi="メイリオ" w:eastAsia="メイリオ"/>
          <w:b w:val="0"/>
          <w:sz w:val="28"/>
        </w:rPr>
      </w:pPr>
      <w:bookmarkStart w:id="5" w:name="_Toc59007737"/>
      <w:r>
        <w:rPr>
          <w:rFonts w:hint="eastAsia" w:ascii="メイリオ" w:hAnsi="メイリオ" w:eastAsia="メイリオ"/>
          <w:b w:val="0"/>
          <w:sz w:val="28"/>
        </w:rPr>
        <w:t>（２）他の計画等との関係</w:t>
      </w:r>
      <w:bookmarkEnd w:id="5"/>
    </w:p>
    <w:p>
      <w:pPr>
        <w:pStyle w:val="0"/>
        <w:ind w:firstLine="240" w:firstLineChars="100"/>
        <w:jc w:val="both"/>
        <w:rPr>
          <w:rFonts w:hint="default"/>
        </w:rPr>
      </w:pPr>
      <w:r>
        <w:rPr>
          <w:rFonts w:hint="eastAsia"/>
        </w:rPr>
        <w:t>本計画は、「</w:t>
      </w:r>
      <w:r>
        <w:rPr>
          <w:rFonts w:hint="eastAsia"/>
          <w:color w:val="000000" w:themeColor="text1"/>
        </w:rPr>
        <w:t>第２期</w:t>
      </w:r>
      <w:r>
        <w:rPr>
          <w:rFonts w:hint="eastAsia"/>
        </w:rPr>
        <w:t>箕面市地域福祉計画」を上位計画とし、国の基本的な指針等、また、大阪府の「大阪府高齢者計画」、</w:t>
      </w:r>
      <w:r>
        <w:rPr>
          <w:rFonts w:hint="eastAsia"/>
          <w:color w:val="000000" w:themeColor="text1"/>
          <w:highlight w:val="none"/>
        </w:rPr>
        <w:t>「大阪府医療計画」、「大阪府</w:t>
      </w:r>
      <w:r>
        <w:rPr>
          <w:rFonts w:hint="eastAsia"/>
          <w:color w:val="000000" w:themeColor="text1"/>
        </w:rPr>
        <w:t>地域医療構想」等や「</w:t>
      </w:r>
      <w:r>
        <w:rPr>
          <w:rFonts w:hint="eastAsia"/>
        </w:rPr>
        <w:t>箕面市地域防災計画」、「</w:t>
      </w:r>
      <w:r>
        <w:rPr>
          <w:rFonts w:hint="eastAsia"/>
          <w:color w:val="000000" w:themeColor="text1"/>
        </w:rPr>
        <w:t>箕面市新型インフルエンザ等対策行動計画」、「第３期箕面市特定健康診査等実施計画」、</w:t>
      </w:r>
      <w:r>
        <w:rPr>
          <w:rFonts w:hint="eastAsia"/>
        </w:rPr>
        <w:t>「箕面市住宅マスタープラン</w:t>
      </w:r>
      <w:r>
        <w:rPr>
          <w:rFonts w:hint="default"/>
        </w:rPr>
        <w:t>(2010</w:t>
      </w:r>
      <w:r>
        <w:rPr>
          <w:rFonts w:hint="default"/>
        </w:rPr>
        <w:t>）」</w:t>
      </w:r>
      <w:r>
        <w:rPr>
          <w:rFonts w:hint="eastAsia"/>
        </w:rPr>
        <w:t>、</w:t>
      </w:r>
      <w:r>
        <w:rPr>
          <w:rFonts w:hint="default"/>
        </w:rPr>
        <w:t>「第３次箕面市障害者市民の長期計画（みのお</w:t>
      </w:r>
      <w:r>
        <w:rPr>
          <w:rFonts w:hint="default"/>
        </w:rPr>
        <w:t>‘</w:t>
      </w:r>
      <w:r>
        <w:rPr>
          <w:rFonts w:hint="default"/>
        </w:rPr>
        <w:t>Ｎ</w:t>
      </w:r>
      <w:r>
        <w:rPr>
          <w:rFonts w:hint="default"/>
        </w:rPr>
        <w:t>’</w:t>
      </w:r>
      <w:r>
        <w:rPr>
          <w:rFonts w:hint="default"/>
        </w:rPr>
        <w:t>プラン）」など関連計画との整合を図り策定しています。</w:t>
      </w:r>
    </w:p>
    <w:p>
      <w:pPr>
        <w:pStyle w:val="0"/>
        <w:jc w:val="both"/>
        <w:rPr>
          <w:rFonts w:hint="default"/>
        </w:rPr>
      </w:pPr>
    </w:p>
    <w:p>
      <w:pPr>
        <w:pStyle w:val="0"/>
        <w:jc w:val="center"/>
        <w:rPr>
          <w:rFonts w:hint="default"/>
        </w:rPr>
      </w:pPr>
      <w:r>
        <w:rPr>
          <w:rFonts w:hint="eastAsia"/>
        </w:rPr>
        <w:drawing>
          <wp:inline distT="0" distB="0" distL="0" distR="0">
            <wp:extent cx="5697855" cy="2573020"/>
            <wp:effectExtent l="0" t="0" r="0" b="0"/>
            <wp:docPr id="1030" name="位置付け.bmp" descr="テキスト, 手紙&#10;&#10;自動的に生成された説明"/>
            <a:graphic xmlns:a="http://schemas.openxmlformats.org/drawingml/2006/main">
              <a:graphicData uri="http://schemas.openxmlformats.org/drawingml/2006/picture">
                <pic:pic xmlns:pic="http://schemas.openxmlformats.org/drawingml/2006/picture">
                  <pic:nvPicPr>
                    <pic:cNvPr id="1030" name="位置付け.bmp" descr="テキスト, 手紙&#10;&#10;自動的に生成された説明"/>
                    <pic:cNvPicPr/>
                  </pic:nvPicPr>
                  <pic:blipFill>
                    <a:blip r:embed="rId8"/>
                    <a:stretch>
                      <a:fillRect/>
                    </a:stretch>
                  </pic:blipFill>
                  <pic:spPr>
                    <a:xfrm>
                      <a:off x="0" y="0"/>
                      <a:ext cx="5697855" cy="2573020"/>
                    </a:xfrm>
                    <a:prstGeom prst="rect">
                      <a:avLst/>
                    </a:prstGeom>
                  </pic:spPr>
                </pic:pic>
              </a:graphicData>
            </a:graphic>
          </wp:inline>
        </w:drawing>
      </w:r>
    </w:p>
    <w:p>
      <w:pPr>
        <w:pStyle w:val="0"/>
        <w:rPr>
          <w:rFonts w:hint="default"/>
        </w:rPr>
      </w:pPr>
    </w:p>
    <w:p>
      <w:pPr>
        <w:pStyle w:val="3"/>
        <w:ind w:left="0" w:leftChars="0"/>
        <w:rPr>
          <w:rFonts w:hint="default" w:ascii="メイリオ" w:hAnsi="メイリオ" w:eastAsia="メイリオ"/>
          <w:b w:val="1"/>
          <w:sz w:val="28"/>
          <w:u w:val="single" w:color="auto"/>
        </w:rPr>
      </w:pPr>
      <w:bookmarkStart w:id="6" w:name="_Toc59007738"/>
      <w:r>
        <w:rPr>
          <w:rFonts w:hint="eastAsia" w:ascii="メイリオ" w:hAnsi="メイリオ" w:eastAsia="メイリオ"/>
          <w:b w:val="1"/>
          <w:sz w:val="32"/>
          <w:u w:val="single" w:color="auto"/>
        </w:rPr>
        <w:t>３．計画の期間</w:t>
      </w:r>
      <w:bookmarkEnd w:id="6"/>
      <w:r>
        <w:rPr>
          <w:rFonts w:hint="eastAsia" w:ascii="メイリオ" w:hAnsi="メイリオ" w:eastAsia="メイリオ"/>
          <w:b w:val="1"/>
          <w:sz w:val="28"/>
          <w:u w:val="single" w:color="auto"/>
        </w:rPr>
        <w:t>　　　　　　　　　　　　　　　　　　　　　　　　　　　　　　　　　　　</w:t>
      </w:r>
    </w:p>
    <w:p>
      <w:pPr>
        <w:pStyle w:val="0"/>
        <w:ind w:firstLine="240" w:firstLineChars="100"/>
        <w:jc w:val="both"/>
        <w:rPr>
          <w:rFonts w:hint="default"/>
        </w:rPr>
      </w:pPr>
      <w:r>
        <w:rPr>
          <w:rFonts w:hint="eastAsia"/>
        </w:rPr>
        <w:t>本計画の期間は、令和３</w:t>
      </w:r>
      <w:r>
        <w:rPr>
          <w:rFonts w:hint="default"/>
        </w:rPr>
        <w:t>年度</w:t>
      </w:r>
      <w:r>
        <w:rPr>
          <w:rFonts w:hint="eastAsia"/>
        </w:rPr>
        <w:t>(</w:t>
      </w:r>
      <w:r>
        <w:rPr>
          <w:rFonts w:hint="default"/>
        </w:rPr>
        <w:t>20</w:t>
      </w:r>
      <w:r>
        <w:rPr>
          <w:rFonts w:hint="eastAsia"/>
        </w:rPr>
        <w:t>21</w:t>
      </w:r>
      <w:r>
        <w:rPr>
          <w:rFonts w:hint="default"/>
        </w:rPr>
        <w:t>年度</w:t>
      </w:r>
      <w:r>
        <w:rPr>
          <w:rFonts w:hint="eastAsia"/>
        </w:rPr>
        <w:t>)</w:t>
      </w:r>
      <w:r>
        <w:rPr>
          <w:rFonts w:hint="default"/>
        </w:rPr>
        <w:t>から</w:t>
      </w:r>
      <w:r>
        <w:rPr>
          <w:rFonts w:hint="eastAsia"/>
        </w:rPr>
        <w:t>令和５</w:t>
      </w:r>
      <w:r>
        <w:rPr>
          <w:rFonts w:hint="default"/>
        </w:rPr>
        <w:t>年度</w:t>
      </w:r>
      <w:r>
        <w:rPr>
          <w:rFonts w:hint="eastAsia"/>
        </w:rPr>
        <w:t>(</w:t>
      </w:r>
      <w:r>
        <w:rPr>
          <w:rFonts w:hint="default"/>
        </w:rPr>
        <w:t>202</w:t>
      </w:r>
      <w:r>
        <w:rPr>
          <w:rFonts w:hint="eastAsia"/>
        </w:rPr>
        <w:t>3</w:t>
      </w:r>
      <w:r>
        <w:rPr>
          <w:rFonts w:hint="default"/>
        </w:rPr>
        <w:t>年度</w:t>
      </w:r>
      <w:r>
        <w:rPr>
          <w:rFonts w:hint="eastAsia"/>
        </w:rPr>
        <w:t>)</w:t>
      </w:r>
      <w:r>
        <w:rPr>
          <w:rFonts w:hint="default"/>
        </w:rPr>
        <w:t>までとし、地域包括ケア整備の目標年次であ</w:t>
      </w:r>
      <w:r>
        <w:rPr>
          <w:rFonts w:hint="eastAsia"/>
        </w:rPr>
        <w:t>り、団塊の世代全員が</w:t>
      </w:r>
      <w:r>
        <w:rPr>
          <w:rFonts w:hint="eastAsia"/>
        </w:rPr>
        <w:t>75</w:t>
      </w:r>
      <w:r>
        <w:rPr>
          <w:rFonts w:hint="eastAsia"/>
        </w:rPr>
        <w:t>歳以上となる令和７</w:t>
      </w:r>
      <w:r>
        <w:rPr>
          <w:rFonts w:hint="default"/>
        </w:rPr>
        <w:t>年度</w:t>
      </w:r>
      <w:r>
        <w:rPr>
          <w:rFonts w:hint="eastAsia"/>
        </w:rPr>
        <w:t>(</w:t>
      </w:r>
      <w:r>
        <w:rPr>
          <w:rFonts w:hint="default"/>
        </w:rPr>
        <w:t>2025</w:t>
      </w:r>
      <w:r>
        <w:rPr>
          <w:rFonts w:hint="default"/>
        </w:rPr>
        <w:t>年度</w:t>
      </w:r>
      <w:r>
        <w:rPr>
          <w:rFonts w:hint="eastAsia"/>
        </w:rPr>
        <w:t>)</w:t>
      </w:r>
      <w:r>
        <w:rPr>
          <w:rFonts w:hint="default"/>
        </w:rPr>
        <w:t>を見通した計画となっています。</w:t>
      </w:r>
    </w:p>
    <w:p>
      <w:pPr>
        <w:pStyle w:val="0"/>
        <w:jc w:val="center"/>
        <w:rPr>
          <w:rFonts w:hint="default"/>
        </w:rPr>
      </w:pPr>
    </w:p>
    <w:p>
      <w:pPr>
        <w:pStyle w:val="0"/>
        <w:jc w:val="center"/>
        <w:rPr>
          <w:rFonts w:hint="default"/>
        </w:rPr>
      </w:pPr>
      <w:r>
        <w:rPr>
          <w:rFonts w:hint="default"/>
        </w:rPr>
        <w:drawing>
          <wp:anchor distT="0" distB="0" distL="114300" distR="114300" simplePos="0" relativeHeight="7" behindDoc="1" locked="0" layoutInCell="1" hidden="0" allowOverlap="1">
            <wp:simplePos x="0" y="0"/>
            <wp:positionH relativeFrom="column">
              <wp:posOffset>-1905</wp:posOffset>
            </wp:positionH>
            <wp:positionV relativeFrom="paragraph">
              <wp:posOffset>60325</wp:posOffset>
            </wp:positionV>
            <wp:extent cx="6188710" cy="1449070"/>
            <wp:effectExtent l="0" t="0" r="0" b="0"/>
            <wp:wrapNone/>
            <wp:docPr id="1031" name="計画期間.bmp" descr="タイムライン&#10;&#10;自動的に生成された説明"/>
            <a:graphic xmlns:a="http://schemas.openxmlformats.org/drawingml/2006/main">
              <a:graphicData uri="http://schemas.openxmlformats.org/drawingml/2006/picture">
                <pic:pic xmlns:pic="http://schemas.openxmlformats.org/drawingml/2006/picture">
                  <pic:nvPicPr>
                    <pic:cNvPr id="1031" name="計画期間.bmp" descr="タイムライン&#10;&#10;自動的に生成された説明"/>
                    <pic:cNvPicPr/>
                  </pic:nvPicPr>
                  <pic:blipFill>
                    <a:blip r:embed="rId9"/>
                    <a:stretch>
                      <a:fillRect/>
                    </a:stretch>
                  </pic:blipFill>
                  <pic:spPr>
                    <a:xfrm>
                      <a:off x="0" y="0"/>
                      <a:ext cx="6188710" cy="1449070"/>
                    </a:xfrm>
                    <a:prstGeom prst="rect">
                      <a:avLst/>
                    </a:prstGeom>
                  </pic:spPr>
                </pic:pic>
              </a:graphicData>
            </a:graphic>
          </wp:anchor>
        </w:drawing>
      </w:r>
      <w:r>
        <w:rPr>
          <w:rFonts w:hint="eastAsia" w:ascii="ＭＳ ゴシック" w:hAnsi="ＭＳ ゴシック" w:eastAsia="ＭＳ ゴシック"/>
          <w:sz w:val="21"/>
        </w:rPr>
        <w:t>図表１：計画期間</w:t>
      </w:r>
    </w:p>
    <w:p>
      <w:pPr>
        <w:pStyle w:val="0"/>
        <w:jc w:val="center"/>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rPr>
        <w:sectPr>
          <w:headerReference r:id="rId5" w:type="default"/>
          <w:footerReference r:id="rId6" w:type="default"/>
          <w:pgSz w:w="11906" w:h="16838"/>
          <w:pgMar w:top="1440" w:right="1080" w:bottom="1440" w:left="1080" w:header="851" w:footer="454" w:gutter="0"/>
          <w:pgNumType w:start="1"/>
          <w:cols w:space="720"/>
          <w:textDirection w:val="lrTb"/>
          <w:docGrid w:type="lines" w:linePitch="360"/>
        </w:sectPr>
      </w:pPr>
    </w:p>
    <w:p>
      <w:pPr>
        <w:pStyle w:val="3"/>
        <w:ind w:left="0" w:leftChars="0"/>
        <w:rPr>
          <w:rFonts w:hint="default" w:ascii="メイリオ" w:hAnsi="メイリオ" w:eastAsia="メイリオ"/>
          <w:b w:val="1"/>
          <w:sz w:val="28"/>
          <w:u w:val="single" w:color="auto"/>
        </w:rPr>
      </w:pPr>
      <w:bookmarkStart w:id="7" w:name="_Toc59007739"/>
      <w:r>
        <w:rPr>
          <w:rFonts w:hint="eastAsia" w:ascii="メイリオ" w:hAnsi="メイリオ" w:eastAsia="メイリオ"/>
          <w:b w:val="1"/>
          <w:sz w:val="32"/>
          <w:u w:val="single" w:color="auto"/>
        </w:rPr>
        <w:t>４．第８期の基本指針（国のガイドライン）</w:t>
      </w:r>
      <w:bookmarkEnd w:id="7"/>
      <w:r>
        <w:rPr>
          <w:rFonts w:hint="eastAsia" w:ascii="メイリオ" w:hAnsi="メイリオ" w:eastAsia="メイリオ"/>
          <w:b w:val="1"/>
          <w:sz w:val="28"/>
          <w:u w:val="single" w:color="auto"/>
        </w:rPr>
        <w:t>　　　　　　　　　　　　　　　　　　　　　　　</w:t>
      </w:r>
    </w:p>
    <w:p>
      <w:pPr>
        <w:pStyle w:val="0"/>
        <w:ind w:firstLine="240" w:firstLineChars="100"/>
        <w:jc w:val="both"/>
        <w:rPr>
          <w:rFonts w:hint="default"/>
        </w:rPr>
      </w:pPr>
      <w:r>
        <w:rPr>
          <w:rFonts w:hint="eastAsia"/>
        </w:rPr>
        <w:t>介護保険法第</w:t>
      </w:r>
      <w:r>
        <w:rPr>
          <w:rFonts w:hint="default"/>
        </w:rPr>
        <w:t>116</w:t>
      </w:r>
      <w:r>
        <w:rPr>
          <w:rFonts w:hint="default"/>
        </w:rPr>
        <w:t>条において、厚生労働大臣は地域における医療及び介護の総合的な確保の促進に関する法</w:t>
      </w:r>
      <w:r>
        <w:rPr>
          <w:rFonts w:hint="eastAsia"/>
        </w:rPr>
        <w:t>律に規定する総合確保方針に即して</w:t>
      </w:r>
      <w:r>
        <w:rPr>
          <w:rFonts w:hint="default"/>
        </w:rPr>
        <w:t>、介護保険事業に係る保険給付の円滑な実施を確保するための基本的な</w:t>
      </w:r>
      <w:r>
        <w:rPr>
          <w:rFonts w:hint="eastAsia"/>
        </w:rPr>
        <w:t>指針</w:t>
      </w:r>
      <w:r>
        <w:rPr>
          <w:rFonts w:hint="default"/>
        </w:rPr>
        <w:t>を定めることとされて</w:t>
      </w:r>
      <w:r>
        <w:rPr>
          <w:rFonts w:hint="eastAsia"/>
        </w:rPr>
        <w:t>います。第８</w:t>
      </w:r>
      <w:r>
        <w:rPr>
          <w:rFonts w:hint="default"/>
        </w:rPr>
        <w:t>期</w:t>
      </w:r>
      <w:r>
        <w:rPr>
          <w:rFonts w:hint="eastAsia"/>
        </w:rPr>
        <w:t>計画における国の基本指針では</w:t>
      </w:r>
      <w:r>
        <w:rPr>
          <w:rFonts w:hint="default"/>
        </w:rPr>
        <w:t>、第</w:t>
      </w:r>
      <w:r>
        <w:rPr>
          <w:rFonts w:hint="eastAsia"/>
        </w:rPr>
        <w:t>７</w:t>
      </w:r>
      <w:r>
        <w:rPr>
          <w:rFonts w:hint="default"/>
        </w:rPr>
        <w:t>期計画での目標や具体的な施策を</w:t>
      </w:r>
      <w:r>
        <w:rPr>
          <w:rFonts w:hint="eastAsia"/>
        </w:rPr>
        <w:t>ふ</w:t>
      </w:r>
      <w:r>
        <w:rPr>
          <w:rFonts w:hint="default"/>
        </w:rPr>
        <w:t>まえ、</w:t>
      </w:r>
      <w:r>
        <w:rPr>
          <w:rFonts w:hint="eastAsia"/>
        </w:rPr>
        <w:t>次の７項目のとおり、</w:t>
      </w:r>
      <w:r>
        <w:rPr>
          <w:rFonts w:hint="default"/>
        </w:rPr>
        <w:t>2025</w:t>
      </w:r>
      <w:r>
        <w:rPr>
          <w:rFonts w:hint="default"/>
        </w:rPr>
        <w:t>年を</w:t>
      </w:r>
      <w:r>
        <w:rPr>
          <w:rFonts w:hint="eastAsia"/>
        </w:rPr>
        <w:t>めざ</w:t>
      </w:r>
      <w:r>
        <w:rPr>
          <w:rFonts w:hint="default"/>
        </w:rPr>
        <w:t>した地域包括ケアシステムの整備</w:t>
      </w:r>
      <w:r>
        <w:rPr>
          <w:rFonts w:hint="eastAsia"/>
        </w:rPr>
        <w:t>及び</w:t>
      </w:r>
      <w:r>
        <w:rPr>
          <w:rFonts w:hint="default"/>
        </w:rPr>
        <w:t>現役世代が急減する</w:t>
      </w:r>
      <w:r>
        <w:rPr>
          <w:rFonts w:hint="default"/>
        </w:rPr>
        <w:t>2040</w:t>
      </w:r>
      <w:r>
        <w:rPr>
          <w:rFonts w:hint="default"/>
        </w:rPr>
        <w:t>年の双方を念頭に、高齢者人口や介護サービスのニーズを中長期的に見据えることについて計画に位置付ける</w:t>
      </w:r>
      <w:r>
        <w:rPr>
          <w:rFonts w:hint="eastAsia"/>
        </w:rPr>
        <w:t>ことが求められています。</w:t>
      </w:r>
    </w:p>
    <w:p>
      <w:pPr>
        <w:pStyle w:val="0"/>
        <w:rPr>
          <w:rFonts w:hint="default"/>
        </w:rPr>
      </w:pPr>
    </w:p>
    <w:p>
      <w:pPr>
        <w:pStyle w:val="4"/>
        <w:ind w:left="0" w:leftChars="0" w:right="-317" w:rightChars="-132"/>
        <w:rPr>
          <w:rFonts w:hint="default" w:ascii="メイリオ" w:hAnsi="メイリオ" w:eastAsia="メイリオ"/>
          <w:b w:val="0"/>
          <w:sz w:val="28"/>
        </w:rPr>
      </w:pPr>
      <w:bookmarkStart w:id="8" w:name="_Toc59007740"/>
      <w:r>
        <w:rPr>
          <w:rFonts w:hint="eastAsia" w:ascii="メイリオ" w:hAnsi="メイリオ" w:eastAsia="メイリオ"/>
          <w:b w:val="0"/>
          <w:sz w:val="28"/>
        </w:rPr>
        <w:t>（１）</w:t>
      </w:r>
      <w:r>
        <w:rPr>
          <w:rFonts w:hint="default" w:ascii="メイリオ" w:hAnsi="メイリオ" w:eastAsia="メイリオ"/>
          <w:b w:val="0"/>
          <w:sz w:val="28"/>
        </w:rPr>
        <w:t>2025</w:t>
      </w:r>
      <w:r>
        <w:rPr>
          <w:rFonts w:hint="eastAsia" w:ascii="メイリオ" w:hAnsi="メイリオ" w:eastAsia="メイリオ"/>
          <w:b w:val="0"/>
          <w:sz w:val="28"/>
        </w:rPr>
        <w:t>年</w:t>
      </w:r>
      <w:r>
        <w:rPr>
          <w:rFonts w:hint="default" w:ascii="メイリオ" w:hAnsi="メイリオ" w:eastAsia="メイリオ"/>
          <w:b w:val="0"/>
          <w:sz w:val="28"/>
        </w:rPr>
        <w:t>・</w:t>
      </w:r>
      <w:r>
        <w:rPr>
          <w:rFonts w:hint="default" w:ascii="メイリオ" w:hAnsi="メイリオ" w:eastAsia="メイリオ"/>
          <w:b w:val="0"/>
          <w:sz w:val="28"/>
        </w:rPr>
        <w:t>2040</w:t>
      </w:r>
      <w:r>
        <w:rPr>
          <w:rFonts w:hint="default" w:ascii="メイリオ" w:hAnsi="メイリオ" w:eastAsia="メイリオ"/>
          <w:b w:val="0"/>
          <w:sz w:val="28"/>
        </w:rPr>
        <w:t>年を見据えたサービス基盤、人的基盤の整備</w:t>
      </w:r>
      <w:bookmarkEnd w:id="8"/>
    </w:p>
    <w:p>
      <w:pPr>
        <w:pStyle w:val="0"/>
        <w:ind w:left="240" w:leftChars="100" w:firstLine="240" w:firstLineChars="100"/>
        <w:jc w:val="both"/>
        <w:rPr>
          <w:rFonts w:hint="default"/>
        </w:rPr>
      </w:pPr>
      <w:r>
        <w:rPr>
          <w:rFonts w:hint="eastAsia"/>
        </w:rPr>
        <w:t>「団塊の世代」が</w:t>
      </w:r>
      <w:r>
        <w:rPr>
          <w:rFonts w:hint="eastAsia"/>
        </w:rPr>
        <w:t>75</w:t>
      </w:r>
      <w:r>
        <w:rPr>
          <w:rFonts w:hint="eastAsia"/>
        </w:rPr>
        <w:t>歳以上となる</w:t>
      </w:r>
      <w:r>
        <w:rPr>
          <w:rFonts w:hint="eastAsia"/>
        </w:rPr>
        <w:t>2025</w:t>
      </w:r>
      <w:r>
        <w:rPr>
          <w:rFonts w:hint="eastAsia"/>
        </w:rPr>
        <w:t>年、更にはいわゆる「団塊ジュニア世代」が</w:t>
      </w:r>
      <w:r>
        <w:rPr>
          <w:rFonts w:hint="eastAsia"/>
        </w:rPr>
        <w:t>65</w:t>
      </w:r>
      <w:r>
        <w:rPr>
          <w:rFonts w:hint="eastAsia"/>
        </w:rPr>
        <w:t>歳以上となる</w:t>
      </w:r>
      <w:r>
        <w:rPr>
          <w:rFonts w:hint="eastAsia"/>
        </w:rPr>
        <w:t>2040</w:t>
      </w:r>
      <w:r>
        <w:rPr>
          <w:rFonts w:hint="eastAsia"/>
        </w:rPr>
        <w:t>年に向けて、人口推計等からの介護需要をふまえ、第８期計画において、具体的な取組内容やその目標を計画に位置づけ</w:t>
      </w:r>
    </w:p>
    <w:p>
      <w:pPr>
        <w:pStyle w:val="0"/>
        <w:rPr>
          <w:rFonts w:hint="default"/>
        </w:rPr>
      </w:pPr>
    </w:p>
    <w:p>
      <w:pPr>
        <w:pStyle w:val="4"/>
        <w:ind w:left="0" w:leftChars="0" w:right="-175" w:rightChars="-73"/>
        <w:rPr>
          <w:rFonts w:hint="default" w:ascii="メイリオ" w:hAnsi="メイリオ" w:eastAsia="メイリオ"/>
          <w:b w:val="0"/>
          <w:sz w:val="28"/>
        </w:rPr>
      </w:pPr>
      <w:bookmarkStart w:id="9" w:name="_Toc59007741"/>
      <w:r>
        <w:rPr>
          <w:rFonts w:hint="eastAsia" w:ascii="メイリオ" w:hAnsi="メイリオ" w:eastAsia="メイリオ"/>
          <w:b w:val="0"/>
          <w:sz w:val="28"/>
        </w:rPr>
        <w:t>（２）地域共生社会の実現</w:t>
      </w:r>
      <w:bookmarkEnd w:id="9"/>
    </w:p>
    <w:p>
      <w:pPr>
        <w:pStyle w:val="0"/>
        <w:ind w:left="240" w:leftChars="100" w:firstLine="240" w:firstLineChars="100"/>
        <w:jc w:val="both"/>
        <w:rPr>
          <w:rFonts w:hint="default"/>
        </w:rPr>
      </w:pPr>
      <w:r>
        <w:rPr>
          <w:rFonts w:hint="eastAsia"/>
        </w:rPr>
        <w:t>地域に生きる一人ひとりが尊重され、多様な経路で社会とつながり参画することで、その生きる力や可能性を最大限に発揮できる地域共生社会の実現にあたり、その理念や考えかたをふまえた包括的な支援体制の整備や具体的な取組を計画に位置づけ</w:t>
      </w:r>
    </w:p>
    <w:p>
      <w:pPr>
        <w:pStyle w:val="0"/>
        <w:rPr>
          <w:rFonts w:hint="default"/>
        </w:rPr>
      </w:pPr>
    </w:p>
    <w:p>
      <w:pPr>
        <w:pStyle w:val="4"/>
        <w:ind w:left="0" w:leftChars="0"/>
        <w:rPr>
          <w:rFonts w:hint="default" w:ascii="メイリオ" w:hAnsi="メイリオ" w:eastAsia="メイリオ"/>
          <w:b w:val="0"/>
          <w:sz w:val="28"/>
        </w:rPr>
      </w:pPr>
      <w:bookmarkStart w:id="10" w:name="_Toc59007742"/>
      <w:r>
        <w:rPr>
          <w:rFonts w:hint="eastAsia" w:ascii="メイリオ" w:hAnsi="メイリオ" w:eastAsia="メイリオ"/>
          <w:b w:val="0"/>
          <w:sz w:val="28"/>
        </w:rPr>
        <w:t>（３）介護予防・健康づくり施策の充実・推進</w:t>
      </w:r>
      <w:r>
        <w:rPr>
          <w:rFonts w:hint="eastAsia" w:ascii="メイリオ" w:hAnsi="メイリオ" w:eastAsia="メイリオ"/>
          <w:b w:val="0"/>
          <w:spacing w:val="0"/>
          <w:w w:val="81"/>
          <w:kern w:val="0"/>
          <w:sz w:val="28"/>
          <w:fitText w:val="3640" w:id="1"/>
        </w:rPr>
        <w:t>（地域支援事業等の効果的な実施</w:t>
      </w:r>
      <w:r>
        <w:rPr>
          <w:rFonts w:hint="eastAsia" w:ascii="メイリオ" w:hAnsi="メイリオ" w:eastAsia="メイリオ"/>
          <w:b w:val="0"/>
          <w:spacing w:val="6"/>
          <w:w w:val="81"/>
          <w:kern w:val="0"/>
          <w:sz w:val="28"/>
          <w:fitText w:val="3640" w:id="1"/>
        </w:rPr>
        <w:t>）</w:t>
      </w:r>
      <w:bookmarkEnd w:id="10"/>
    </w:p>
    <w:p>
      <w:pPr>
        <w:pStyle w:val="0"/>
        <w:ind w:left="240" w:hanging="240" w:hangingChars="100"/>
        <w:jc w:val="both"/>
        <w:rPr>
          <w:rFonts w:hint="default"/>
        </w:rPr>
      </w:pPr>
      <w:r>
        <w:rPr>
          <w:rFonts w:hint="eastAsia"/>
        </w:rPr>
        <w:t>　　被保険者が要介護状態となることを予防するとともに、要介護状態となった場合においても、可能な限り住み慣れた地域において自立した日常生活を送れるようにすることは、介護保険制度の重要な目的であり、そのため、次の事項に留意しながら、介護予防・健康づくりの取組を強化</w:t>
      </w:r>
    </w:p>
    <w:p>
      <w:pPr>
        <w:pStyle w:val="0"/>
        <w:ind w:left="240" w:hanging="240" w:hangingChars="100"/>
        <w:rPr>
          <w:rFonts w:hint="default"/>
        </w:rPr>
      </w:pPr>
    </w:p>
    <w:p>
      <w:pPr>
        <w:pStyle w:val="0"/>
        <w:ind w:left="240" w:hanging="240" w:hangingChars="100"/>
        <w:jc w:val="both"/>
        <w:rPr>
          <w:rFonts w:hint="default"/>
        </w:rPr>
      </w:pPr>
      <w:r>
        <w:rPr>
          <w:rFonts w:hint="eastAsia"/>
        </w:rPr>
        <w:t>○一般介護予防事業の推進に関する「ＰＤＣＡ</w:t>
      </w:r>
      <w:r>
        <w:rPr>
          <w:rFonts w:hint="default"/>
        </w:rPr>
        <w:t>サイクル</w:t>
      </w:r>
      <w:r>
        <w:rPr>
          <w:rFonts w:hint="eastAsia"/>
          <w:vertAlign w:val="superscript"/>
        </w:rPr>
        <w:t>※</w:t>
      </w:r>
      <w:r>
        <w:rPr>
          <w:rStyle w:val="42"/>
          <w:rFonts w:hint="default"/>
        </w:rPr>
        <w:footnoteReference w:id="1"/>
      </w:r>
      <w:r>
        <w:rPr>
          <w:rFonts w:hint="eastAsia"/>
        </w:rPr>
        <w:t>に</w:t>
      </w:r>
      <w:r>
        <w:rPr>
          <w:rFonts w:hint="default"/>
        </w:rPr>
        <w:t>沿った推進」、「専門職の関与」、「他の事業との連携」</w:t>
      </w:r>
    </w:p>
    <w:p>
      <w:pPr>
        <w:pStyle w:val="0"/>
        <w:ind w:left="240" w:hanging="240" w:hangingChars="100"/>
        <w:jc w:val="both"/>
        <w:rPr>
          <w:rFonts w:hint="default"/>
        </w:rPr>
      </w:pPr>
      <w:r>
        <w:rPr>
          <w:rFonts w:hint="eastAsia"/>
        </w:rPr>
        <w:t>○自立</w:t>
      </w:r>
      <w:r>
        <w:rPr>
          <w:rFonts w:hint="default"/>
        </w:rPr>
        <w:t>支援、介護予防・重度化防止に向けた取組として就労的活動等</w:t>
      </w:r>
      <w:r>
        <w:rPr>
          <w:rFonts w:hint="eastAsia"/>
        </w:rPr>
        <w:t>の環境整備</w:t>
      </w:r>
    </w:p>
    <w:p>
      <w:pPr>
        <w:pStyle w:val="0"/>
        <w:jc w:val="both"/>
        <w:rPr>
          <w:rFonts w:hint="default"/>
        </w:rPr>
      </w:pPr>
      <w:r>
        <w:rPr>
          <w:rFonts w:hint="eastAsia"/>
        </w:rPr>
        <w:t>○総合</w:t>
      </w:r>
      <w:r>
        <w:rPr>
          <w:rFonts w:hint="default"/>
        </w:rPr>
        <w:t>事業の対象者や単価の弾力化</w:t>
      </w:r>
    </w:p>
    <w:p>
      <w:pPr>
        <w:pStyle w:val="0"/>
        <w:ind w:left="240" w:hanging="240" w:hangingChars="100"/>
        <w:jc w:val="both"/>
        <w:rPr>
          <w:rFonts w:hint="default"/>
        </w:rPr>
        <w:sectPr>
          <w:headerReference r:id="rId10" w:type="default"/>
          <w:pgSz w:w="11906" w:h="16838"/>
          <w:pgMar w:top="1440" w:right="1080" w:bottom="1440" w:left="1080" w:header="851" w:footer="454" w:gutter="0"/>
          <w:cols w:space="720"/>
          <w:textDirection w:val="lrTb"/>
          <w:docGrid w:type="lines" w:linePitch="360"/>
        </w:sectPr>
      </w:pPr>
      <w:r>
        <w:rPr>
          <w:rFonts w:hint="eastAsia"/>
        </w:rPr>
        <w:t>○保険者機能強化推進交付金等を活用</w:t>
      </w:r>
      <w:r>
        <w:rPr>
          <w:rFonts w:hint="default"/>
        </w:rPr>
        <w:t>した施策</w:t>
      </w:r>
      <w:r>
        <w:rPr>
          <w:rFonts w:hint="eastAsia"/>
        </w:rPr>
        <w:t>の</w:t>
      </w:r>
      <w:r>
        <w:rPr>
          <w:rFonts w:hint="default"/>
        </w:rPr>
        <w:t>充実</w:t>
      </w:r>
      <w:r>
        <w:rPr>
          <w:rFonts w:hint="eastAsia"/>
        </w:rPr>
        <w:t>・推進</w:t>
      </w:r>
    </w:p>
    <w:p>
      <w:pPr>
        <w:pStyle w:val="0"/>
        <w:ind w:left="240" w:hanging="240" w:hangingChars="100"/>
        <w:jc w:val="both"/>
        <w:rPr>
          <w:rFonts w:hint="default"/>
        </w:rPr>
      </w:pPr>
      <w:r>
        <w:rPr>
          <w:rFonts w:hint="eastAsia"/>
        </w:rPr>
        <w:t>○在宅医療・介護連携</w:t>
      </w:r>
      <w:r>
        <w:rPr>
          <w:rFonts w:hint="default"/>
        </w:rPr>
        <w:t>の推進に</w:t>
      </w:r>
      <w:r>
        <w:rPr>
          <w:rFonts w:hint="eastAsia"/>
        </w:rPr>
        <w:t>かかる</w:t>
      </w:r>
      <w:r>
        <w:rPr>
          <w:rFonts w:hint="default"/>
        </w:rPr>
        <w:t>、看取りや認知症への対応強化等</w:t>
      </w:r>
    </w:p>
    <w:p>
      <w:pPr>
        <w:pStyle w:val="0"/>
        <w:ind w:left="240" w:hanging="240" w:hangingChars="100"/>
        <w:jc w:val="both"/>
        <w:rPr>
          <w:rFonts w:hint="default"/>
        </w:rPr>
      </w:pPr>
      <w:r>
        <w:rPr>
          <w:rFonts w:hint="eastAsia"/>
        </w:rPr>
        <w:t>○要介護（要支援）者に対するリハビリテーション</w:t>
      </w:r>
      <w:r>
        <w:rPr>
          <w:rFonts w:hint="default"/>
        </w:rPr>
        <w:t>の目標</w:t>
      </w:r>
      <w:r>
        <w:rPr>
          <w:rFonts w:hint="eastAsia"/>
        </w:rPr>
        <w:t>等の設定</w:t>
      </w:r>
    </w:p>
    <w:p>
      <w:pPr>
        <w:pStyle w:val="0"/>
        <w:ind w:left="240" w:hanging="240" w:hangingChars="100"/>
        <w:jc w:val="both"/>
        <w:rPr>
          <w:rFonts w:hint="default"/>
        </w:rPr>
      </w:pPr>
      <w:r>
        <w:rPr>
          <w:rFonts w:hint="eastAsia"/>
        </w:rPr>
        <w:t>○ＰＤＣＡ</w:t>
      </w:r>
      <w:r>
        <w:rPr>
          <w:rFonts w:hint="default"/>
        </w:rPr>
        <w:t>サイクルに沿った推進</w:t>
      </w:r>
      <w:r>
        <w:rPr>
          <w:rFonts w:hint="eastAsia"/>
        </w:rPr>
        <w:t>にかかる</w:t>
      </w:r>
      <w:r>
        <w:rPr>
          <w:rFonts w:hint="default"/>
        </w:rPr>
        <w:t>、データの利活用</w:t>
      </w:r>
      <w:r>
        <w:rPr>
          <w:rFonts w:hint="eastAsia"/>
        </w:rPr>
        <w:t>の推進・</w:t>
      </w:r>
      <w:r>
        <w:rPr>
          <w:rFonts w:hint="default"/>
        </w:rPr>
        <w:t>環境</w:t>
      </w:r>
      <w:r>
        <w:rPr>
          <w:rFonts w:hint="eastAsia"/>
        </w:rPr>
        <w:t>整備</w:t>
      </w:r>
    </w:p>
    <w:p>
      <w:pPr>
        <w:pStyle w:val="0"/>
        <w:ind w:left="240" w:hanging="240" w:hangingChars="100"/>
        <w:jc w:val="both"/>
        <w:rPr>
          <w:rFonts w:hint="default"/>
        </w:rPr>
      </w:pPr>
    </w:p>
    <w:p>
      <w:pPr>
        <w:pStyle w:val="4"/>
        <w:spacing w:line="400" w:lineRule="exact"/>
        <w:ind w:left="840" w:leftChars="0" w:hanging="840" w:hangingChars="300"/>
        <w:rPr>
          <w:rFonts w:hint="default" w:ascii="メイリオ" w:hAnsi="メイリオ" w:eastAsia="メイリオ"/>
          <w:b w:val="0"/>
          <w:sz w:val="28"/>
        </w:rPr>
      </w:pPr>
      <w:bookmarkStart w:id="11" w:name="_Toc59007743"/>
      <w:r>
        <w:rPr>
          <w:rFonts w:hint="eastAsia" w:ascii="メイリオ" w:hAnsi="メイリオ" w:eastAsia="メイリオ"/>
          <w:b w:val="0"/>
          <w:sz w:val="28"/>
        </w:rPr>
        <w:t>（４）</w:t>
      </w:r>
      <w:r>
        <w:rPr>
          <w:rFonts w:hint="eastAsia" w:ascii="メイリオ" w:hAnsi="メイリオ" w:eastAsia="メイリオ"/>
          <w:b w:val="0"/>
          <w:kern w:val="0"/>
          <w:sz w:val="28"/>
        </w:rPr>
        <w:t>有料老人ホームとサービス付き高齢者住宅に係る都道府県・市町村間の情報連携の強化</w:t>
      </w:r>
      <w:bookmarkEnd w:id="11"/>
    </w:p>
    <w:p>
      <w:pPr>
        <w:pStyle w:val="0"/>
        <w:jc w:val="both"/>
        <w:rPr>
          <w:rFonts w:hint="default"/>
        </w:rPr>
      </w:pPr>
      <w:r>
        <w:rPr>
          <w:rFonts w:hint="eastAsia"/>
        </w:rPr>
        <w:t>○住宅型有料老人ホーム及びサービス付き高齢者向け住宅の設置状況の把握</w:t>
      </w:r>
    </w:p>
    <w:p>
      <w:pPr>
        <w:pStyle w:val="0"/>
        <w:ind w:left="240" w:hanging="240" w:hangingChars="100"/>
        <w:jc w:val="both"/>
        <w:rPr>
          <w:rFonts w:hint="default"/>
        </w:rPr>
      </w:pPr>
      <w:r>
        <w:rPr>
          <w:rFonts w:hint="eastAsia"/>
        </w:rPr>
        <w:t>○サービス基盤の整備に当たり、有料老人ホーム及びサービス付き高齢者向け住宅の設置状況を勘案</w:t>
      </w:r>
    </w:p>
    <w:p>
      <w:pPr>
        <w:pStyle w:val="0"/>
        <w:ind w:left="240" w:hanging="240" w:hangingChars="100"/>
        <w:rPr>
          <w:rFonts w:hint="default"/>
        </w:rPr>
      </w:pPr>
    </w:p>
    <w:p>
      <w:pPr>
        <w:pStyle w:val="4"/>
        <w:ind w:left="0" w:leftChars="0"/>
        <w:rPr>
          <w:rFonts w:hint="default" w:ascii="メイリオ" w:hAnsi="メイリオ" w:eastAsia="メイリオ"/>
          <w:b w:val="0"/>
          <w:sz w:val="28"/>
        </w:rPr>
      </w:pPr>
      <w:bookmarkStart w:id="12" w:name="_Toc59007744"/>
      <w:r>
        <w:rPr>
          <w:rFonts w:hint="eastAsia" w:ascii="メイリオ" w:hAnsi="メイリオ" w:eastAsia="メイリオ"/>
          <w:b w:val="0"/>
          <w:sz w:val="28"/>
        </w:rPr>
        <w:t>（５）認知症施策推進大綱等をふまえた認知症施策の推進</w:t>
      </w:r>
      <w:bookmarkEnd w:id="12"/>
    </w:p>
    <w:p>
      <w:pPr>
        <w:pStyle w:val="0"/>
        <w:ind w:left="240" w:hanging="240" w:hangingChars="100"/>
        <w:jc w:val="both"/>
        <w:rPr>
          <w:rFonts w:hint="default"/>
          <w:color w:val="000000" w:themeColor="text1"/>
        </w:rPr>
      </w:pPr>
      <w:r>
        <w:rPr>
          <w:rFonts w:hint="eastAsia"/>
        </w:rPr>
        <w:t>○認知症施策推進大綱等をふまえ、「共生」</w:t>
      </w:r>
      <w:r>
        <w:rPr>
          <w:rFonts w:hint="eastAsia"/>
          <w:color w:val="000000" w:themeColor="text1"/>
        </w:rPr>
        <w:t>（認知症になっても住みやすい社会を形成）と「予防」（発症や進行を遅らせる）を車の両輪とし、５つの柱に基づいて認知症施策を推進</w:t>
      </w:r>
    </w:p>
    <w:p>
      <w:pPr>
        <w:pStyle w:val="0"/>
        <w:ind w:left="240" w:leftChars="100" w:firstLine="240" w:firstLineChars="100"/>
        <w:jc w:val="both"/>
        <w:rPr>
          <w:rFonts w:hint="default"/>
          <w:color w:val="000000" w:themeColor="text1"/>
        </w:rPr>
      </w:pPr>
      <w:r>
        <w:rPr>
          <w:rFonts w:hint="eastAsia"/>
          <w:color w:val="000000" w:themeColor="text1"/>
        </w:rPr>
        <w:t>①　普及啓発・本人発信支援</w:t>
      </w:r>
    </w:p>
    <w:p>
      <w:pPr>
        <w:pStyle w:val="0"/>
        <w:ind w:left="240" w:leftChars="100" w:firstLine="240" w:firstLineChars="100"/>
        <w:jc w:val="both"/>
        <w:rPr>
          <w:rFonts w:hint="default"/>
          <w:color w:val="000000" w:themeColor="text1"/>
        </w:rPr>
      </w:pPr>
      <w:r>
        <w:rPr>
          <w:rFonts w:hint="eastAsia"/>
          <w:color w:val="000000" w:themeColor="text1"/>
        </w:rPr>
        <w:t>②　予防</w:t>
      </w:r>
    </w:p>
    <w:p>
      <w:pPr>
        <w:pStyle w:val="0"/>
        <w:ind w:left="240" w:leftChars="100" w:firstLine="240" w:firstLineChars="100"/>
        <w:jc w:val="both"/>
        <w:rPr>
          <w:rFonts w:hint="default"/>
          <w:color w:val="000000" w:themeColor="text1"/>
        </w:rPr>
      </w:pPr>
      <w:r>
        <w:rPr>
          <w:rFonts w:hint="eastAsia"/>
          <w:color w:val="000000" w:themeColor="text1"/>
        </w:rPr>
        <w:t>③　医療・ケア・介護サービス・介護者への支援</w:t>
      </w:r>
    </w:p>
    <w:p>
      <w:pPr>
        <w:pStyle w:val="0"/>
        <w:ind w:left="240" w:leftChars="100" w:firstLine="240" w:firstLineChars="100"/>
        <w:jc w:val="both"/>
        <w:rPr>
          <w:rFonts w:hint="default"/>
          <w:color w:val="000000" w:themeColor="text1"/>
        </w:rPr>
      </w:pPr>
      <w:r>
        <w:rPr>
          <w:rFonts w:hint="eastAsia"/>
          <w:color w:val="000000" w:themeColor="text1"/>
        </w:rPr>
        <w:t>④　認知症バリアフリーの推進・若年性認知症の人への支援・社会参加支援</w:t>
      </w:r>
    </w:p>
    <w:p>
      <w:pPr>
        <w:pStyle w:val="0"/>
        <w:ind w:left="240" w:leftChars="100" w:firstLine="240" w:firstLineChars="100"/>
        <w:jc w:val="both"/>
        <w:rPr>
          <w:rFonts w:hint="default"/>
          <w:color w:val="000000" w:themeColor="text1"/>
        </w:rPr>
      </w:pPr>
      <w:r>
        <w:rPr>
          <w:rFonts w:hint="eastAsia"/>
          <w:color w:val="000000" w:themeColor="text1"/>
        </w:rPr>
        <w:t>⑤　研究開発・産業促進・国際展開</w:t>
      </w:r>
    </w:p>
    <w:p>
      <w:pPr>
        <w:pStyle w:val="0"/>
        <w:jc w:val="both"/>
        <w:rPr>
          <w:rFonts w:hint="default"/>
        </w:rPr>
      </w:pPr>
      <w:r>
        <w:rPr>
          <w:rFonts w:hint="eastAsia"/>
        </w:rPr>
        <w:t>○教育等他の分野とも連携して取組を推進</w:t>
      </w:r>
    </w:p>
    <w:p>
      <w:pPr>
        <w:pStyle w:val="0"/>
        <w:rPr>
          <w:rFonts w:hint="default"/>
        </w:rPr>
      </w:pPr>
    </w:p>
    <w:p>
      <w:pPr>
        <w:pStyle w:val="4"/>
        <w:ind w:left="0" w:leftChars="0"/>
        <w:rPr>
          <w:rFonts w:hint="default" w:ascii="メイリオ" w:hAnsi="メイリオ" w:eastAsia="メイリオ"/>
          <w:b w:val="0"/>
          <w:sz w:val="28"/>
        </w:rPr>
      </w:pPr>
      <w:bookmarkStart w:id="13" w:name="_Toc59007745"/>
      <w:r>
        <w:rPr>
          <w:rFonts w:hint="eastAsia" w:ascii="メイリオ" w:hAnsi="メイリオ" w:eastAsia="メイリオ"/>
          <w:b w:val="0"/>
          <w:sz w:val="28"/>
        </w:rPr>
        <w:t>（６）</w:t>
      </w:r>
      <w:r>
        <w:rPr>
          <w:rFonts w:hint="eastAsia" w:ascii="メイリオ" w:hAnsi="メイリオ" w:eastAsia="メイリオ"/>
          <w:b w:val="0"/>
          <w:spacing w:val="1"/>
          <w:w w:val="93"/>
          <w:kern w:val="0"/>
          <w:sz w:val="28"/>
          <w:fitText w:val="8680" w:id="2"/>
        </w:rPr>
        <w:t>地域包括ケアシステムを支える介護人材確保及び業務効率化の取組の強</w:t>
      </w:r>
      <w:r>
        <w:rPr>
          <w:rFonts w:hint="eastAsia" w:ascii="メイリオ" w:hAnsi="メイリオ" w:eastAsia="メイリオ"/>
          <w:b w:val="0"/>
          <w:spacing w:val="13"/>
          <w:w w:val="93"/>
          <w:kern w:val="0"/>
          <w:sz w:val="28"/>
          <w:fitText w:val="8680" w:id="2"/>
        </w:rPr>
        <w:t>化</w:t>
      </w:r>
      <w:bookmarkEnd w:id="13"/>
    </w:p>
    <w:p>
      <w:pPr>
        <w:pStyle w:val="0"/>
        <w:ind w:left="240" w:hanging="240" w:hangingChars="100"/>
        <w:jc w:val="both"/>
        <w:rPr>
          <w:rFonts w:hint="default"/>
        </w:rPr>
      </w:pPr>
      <w:r>
        <w:rPr>
          <w:rFonts w:hint="eastAsia"/>
        </w:rPr>
        <w:t>　　現状の介護人材不足に加え、</w:t>
      </w:r>
      <w:r>
        <w:rPr>
          <w:rFonts w:hint="eastAsia"/>
        </w:rPr>
        <w:t>2025</w:t>
      </w:r>
      <w:r>
        <w:rPr>
          <w:rFonts w:hint="eastAsia"/>
        </w:rPr>
        <w:t>年以降は現役世代の減少が顕著となり、地域包括ケアシステムを支える介護人材の確保が大きな課題となるため、介護人材確保の必要性を把握するとともに、次のことについて取組を強化</w:t>
      </w:r>
    </w:p>
    <w:p>
      <w:pPr>
        <w:pStyle w:val="0"/>
        <w:ind w:left="240" w:hanging="240" w:hangingChars="100"/>
        <w:rPr>
          <w:rFonts w:hint="default"/>
        </w:rPr>
      </w:pPr>
    </w:p>
    <w:p>
      <w:pPr>
        <w:pStyle w:val="0"/>
        <w:ind w:left="240" w:hanging="240" w:hangingChars="100"/>
        <w:jc w:val="both"/>
        <w:rPr>
          <w:rFonts w:hint="default"/>
        </w:rPr>
      </w:pPr>
      <w:r>
        <w:rPr>
          <w:rFonts w:hint="eastAsia"/>
        </w:rPr>
        <w:t>○介護現場における業務仕分けやロボット・ＩＣＴ</w:t>
      </w:r>
      <w:r>
        <w:rPr>
          <w:rFonts w:hint="default"/>
        </w:rPr>
        <w:t>の活用、元気高齢者の参入による業務改善など</w:t>
      </w:r>
      <w:r>
        <w:rPr>
          <w:rFonts w:hint="eastAsia"/>
        </w:rPr>
        <w:t>の取組</w:t>
      </w:r>
    </w:p>
    <w:p>
      <w:pPr>
        <w:pStyle w:val="0"/>
        <w:ind w:left="240" w:hanging="240" w:hangingChars="100"/>
        <w:jc w:val="both"/>
        <w:rPr>
          <w:rFonts w:hint="default"/>
        </w:rPr>
      </w:pPr>
      <w:r>
        <w:rPr>
          <w:rFonts w:hint="eastAsia"/>
        </w:rPr>
        <w:t>○総合事業等の担い手確保に関する取組</w:t>
      </w:r>
    </w:p>
    <w:p>
      <w:pPr>
        <w:pStyle w:val="0"/>
        <w:jc w:val="both"/>
        <w:rPr>
          <w:rFonts w:hint="default"/>
        </w:rPr>
      </w:pPr>
      <w:r>
        <w:rPr>
          <w:rFonts w:hint="eastAsia"/>
        </w:rPr>
        <w:t>○要介護</w:t>
      </w:r>
      <w:r>
        <w:rPr>
          <w:rFonts w:hint="default"/>
        </w:rPr>
        <w:t>認定を行う体制の計画的な整備</w:t>
      </w:r>
      <w:r>
        <w:rPr>
          <w:rFonts w:hint="eastAsia"/>
        </w:rPr>
        <w:t>に関する取組</w:t>
      </w:r>
    </w:p>
    <w:p>
      <w:pPr>
        <w:pStyle w:val="0"/>
        <w:jc w:val="both"/>
        <w:rPr>
          <w:rFonts w:hint="default"/>
        </w:rPr>
      </w:pPr>
      <w:r>
        <w:rPr>
          <w:rFonts w:hint="eastAsia"/>
        </w:rPr>
        <w:t>○文書負担軽減に向けた具体的な取組</w:t>
      </w:r>
    </w:p>
    <w:p>
      <w:pPr>
        <w:pStyle w:val="0"/>
        <w:jc w:val="both"/>
        <w:rPr>
          <w:rFonts w:hint="default"/>
        </w:rPr>
      </w:pPr>
    </w:p>
    <w:p>
      <w:pPr>
        <w:pStyle w:val="4"/>
        <w:ind w:left="0" w:leftChars="0"/>
        <w:rPr>
          <w:rFonts w:hint="default" w:ascii="メイリオ" w:hAnsi="メイリオ" w:eastAsia="メイリオ"/>
          <w:b w:val="0"/>
          <w:sz w:val="28"/>
        </w:rPr>
      </w:pPr>
      <w:bookmarkStart w:id="14" w:name="_Toc59007746"/>
      <w:r>
        <w:rPr>
          <w:rFonts w:hint="eastAsia" w:ascii="メイリオ" w:hAnsi="メイリオ" w:eastAsia="メイリオ"/>
          <w:b w:val="0"/>
          <w:sz w:val="28"/>
        </w:rPr>
        <w:t>（７）災害や感染症対策に係る体制整備</w:t>
      </w:r>
      <w:bookmarkEnd w:id="14"/>
    </w:p>
    <w:p>
      <w:pPr>
        <w:pStyle w:val="0"/>
        <w:ind w:left="240" w:leftChars="100" w:firstLine="240" w:firstLineChars="100"/>
        <w:jc w:val="both"/>
        <w:rPr>
          <w:rFonts w:hint="default" w:ascii="メイリオ" w:hAnsi="メイリオ" w:eastAsia="メイリオ"/>
          <w:b w:val="1"/>
          <w:sz w:val="32"/>
          <w:u w:val="single" w:color="auto"/>
        </w:rPr>
        <w:sectPr>
          <w:pgSz w:w="11906" w:h="16838"/>
          <w:pgMar w:top="1440" w:right="1077" w:bottom="907" w:left="1077" w:header="851" w:footer="454" w:gutter="0"/>
          <w:cols w:space="720"/>
          <w:textDirection w:val="lrTb"/>
          <w:docGrid w:type="lines" w:linePitch="360"/>
        </w:sectPr>
      </w:pPr>
      <w:r>
        <w:rPr>
          <w:rFonts w:hint="default"/>
        </w:rPr>
        <w:t>近年の災害発生状況や、新型コロナウイルス感染症の流行を</w:t>
      </w:r>
      <w:r>
        <w:rPr>
          <w:rFonts w:hint="eastAsia"/>
        </w:rPr>
        <w:t>ふ</w:t>
      </w:r>
      <w:r>
        <w:rPr>
          <w:rFonts w:hint="default"/>
        </w:rPr>
        <w:t>まえ、これらへの備えとなる取組を</w:t>
      </w:r>
      <w:r>
        <w:rPr>
          <w:rFonts w:hint="eastAsia"/>
        </w:rPr>
        <w:t>推進</w:t>
      </w:r>
    </w:p>
    <w:p>
      <w:pPr>
        <w:pStyle w:val="3"/>
        <w:ind w:left="0" w:leftChars="0"/>
        <w:rPr>
          <w:rFonts w:hint="default" w:ascii="メイリオ" w:hAnsi="メイリオ" w:eastAsia="メイリオ"/>
          <w:b w:val="1"/>
          <w:sz w:val="28"/>
          <w:u w:val="single" w:color="auto"/>
        </w:rPr>
      </w:pPr>
      <w:bookmarkStart w:id="15" w:name="_Toc59007747"/>
      <w:r>
        <w:rPr>
          <w:rFonts w:hint="eastAsia" w:ascii="メイリオ" w:hAnsi="メイリオ" w:eastAsia="メイリオ"/>
          <w:b w:val="1"/>
          <w:sz w:val="32"/>
          <w:u w:val="single" w:color="auto"/>
        </w:rPr>
        <w:t>５．計画の策定体制</w:t>
      </w:r>
      <w:bookmarkEnd w:id="15"/>
      <w:r>
        <w:rPr>
          <w:rFonts w:hint="eastAsia" w:ascii="メイリオ" w:hAnsi="メイリオ" w:eastAsia="メイリオ"/>
          <w:b w:val="1"/>
          <w:sz w:val="32"/>
          <w:u w:val="single" w:color="auto"/>
        </w:rPr>
        <w:t>　　　　　　　　　　　　　　　　　　　　　　　　　　　</w:t>
      </w:r>
    </w:p>
    <w:p>
      <w:pPr>
        <w:pStyle w:val="4"/>
        <w:ind w:left="0" w:leftChars="0"/>
        <w:rPr>
          <w:rFonts w:hint="default" w:ascii="メイリオ" w:hAnsi="メイリオ" w:eastAsia="メイリオ"/>
          <w:b w:val="0"/>
          <w:sz w:val="28"/>
        </w:rPr>
      </w:pPr>
      <w:bookmarkStart w:id="16" w:name="_Toc59007748"/>
      <w:r>
        <w:rPr>
          <w:rFonts w:hint="eastAsia" w:ascii="メイリオ" w:hAnsi="メイリオ" w:eastAsia="メイリオ"/>
          <w:b w:val="0"/>
          <w:sz w:val="28"/>
        </w:rPr>
        <w:t>（１）計画策定のための審議会等</w:t>
      </w:r>
      <w:bookmarkEnd w:id="16"/>
    </w:p>
    <w:p>
      <w:pPr>
        <w:pStyle w:val="0"/>
        <w:ind w:firstLine="240" w:firstLineChars="100"/>
        <w:jc w:val="both"/>
        <w:rPr>
          <w:rFonts w:hint="default"/>
          <w:color w:val="000000" w:themeColor="text1"/>
        </w:rPr>
      </w:pPr>
      <w:r>
        <w:rPr>
          <w:rFonts w:hint="eastAsia"/>
        </w:rPr>
        <w:t>本計画の策定にあたっては、</w:t>
      </w:r>
      <w:r>
        <w:rPr>
          <w:rFonts w:hint="eastAsia"/>
          <w:color w:val="000000" w:themeColor="text1"/>
        </w:rPr>
        <w:t>令和２</w:t>
      </w:r>
      <w:r>
        <w:rPr>
          <w:rFonts w:hint="default"/>
          <w:color w:val="000000" w:themeColor="text1"/>
        </w:rPr>
        <w:t>年</w:t>
      </w:r>
      <w:r>
        <w:rPr>
          <w:rFonts w:hint="eastAsia"/>
          <w:color w:val="000000" w:themeColor="text1"/>
        </w:rPr>
        <w:t>(2020</w:t>
      </w:r>
      <w:r>
        <w:rPr>
          <w:rFonts w:hint="default"/>
          <w:color w:val="000000" w:themeColor="text1"/>
        </w:rPr>
        <w:t>年</w:t>
      </w:r>
      <w:r>
        <w:rPr>
          <w:rFonts w:hint="eastAsia"/>
          <w:color w:val="000000" w:themeColor="text1"/>
        </w:rPr>
        <w:t>)</w:t>
      </w:r>
      <w:r>
        <w:rPr>
          <w:rFonts w:hint="eastAsia"/>
          <w:color w:val="000000" w:themeColor="text1"/>
        </w:rPr>
        <w:t>２</w:t>
      </w:r>
      <w:r>
        <w:rPr>
          <w:rFonts w:hint="default"/>
          <w:color w:val="000000" w:themeColor="text1"/>
        </w:rPr>
        <w:t>月に</w:t>
      </w:r>
      <w:r>
        <w:rPr>
          <w:rFonts w:hint="eastAsia"/>
          <w:color w:val="000000" w:themeColor="text1"/>
        </w:rPr>
        <w:t>、本市の附属機関である「箕面市保健医療福祉総合審議会」に対し</w:t>
      </w:r>
      <w:r>
        <w:rPr>
          <w:rFonts w:hint="default"/>
          <w:color w:val="000000" w:themeColor="text1"/>
        </w:rPr>
        <w:t>諮問を行い、「箕面市介護サービス評価専門員会議」において、公募市民、保健医療福祉に関する市民団体、関係機関、学識経験者等の委員に</w:t>
      </w:r>
      <w:r>
        <w:rPr>
          <w:rFonts w:hint="eastAsia"/>
          <w:color w:val="000000" w:themeColor="text1"/>
        </w:rPr>
        <w:t>検討いただいた内容をふまえて</w:t>
      </w:r>
      <w:r>
        <w:rPr>
          <w:rFonts w:hint="default"/>
          <w:color w:val="000000" w:themeColor="text1"/>
        </w:rPr>
        <w:t>、同審議会において審議した結果、</w:t>
      </w:r>
      <w:r>
        <w:rPr>
          <w:rFonts w:hint="eastAsia"/>
          <w:color w:val="000000" w:themeColor="text1"/>
        </w:rPr>
        <w:t>令和３</w:t>
      </w:r>
      <w:r>
        <w:rPr>
          <w:rFonts w:hint="default"/>
          <w:color w:val="000000" w:themeColor="text1"/>
        </w:rPr>
        <w:t>年</w:t>
      </w:r>
      <w:r>
        <w:rPr>
          <w:rFonts w:hint="eastAsia"/>
          <w:color w:val="000000" w:themeColor="text1"/>
        </w:rPr>
        <w:t>(</w:t>
      </w:r>
      <w:r>
        <w:rPr>
          <w:rFonts w:hint="default"/>
          <w:color w:val="000000" w:themeColor="text1"/>
        </w:rPr>
        <w:t>20</w:t>
      </w:r>
      <w:r>
        <w:rPr>
          <w:rFonts w:hint="eastAsia"/>
          <w:color w:val="000000" w:themeColor="text1"/>
        </w:rPr>
        <w:t>21</w:t>
      </w:r>
      <w:r>
        <w:rPr>
          <w:rFonts w:hint="default"/>
          <w:color w:val="000000" w:themeColor="text1"/>
        </w:rPr>
        <w:t>年</w:t>
      </w:r>
      <w:r>
        <w:rPr>
          <w:rFonts w:hint="eastAsia"/>
          <w:color w:val="000000" w:themeColor="text1"/>
        </w:rPr>
        <w:t>)</w:t>
      </w:r>
      <w:r>
        <w:rPr>
          <w:rFonts w:hint="eastAsia"/>
          <w:color w:val="FF0000"/>
        </w:rPr>
        <w:t>●</w:t>
      </w:r>
      <w:r>
        <w:rPr>
          <w:rFonts w:hint="default"/>
          <w:color w:val="000000" w:themeColor="text1"/>
        </w:rPr>
        <w:t>月に答申が</w:t>
      </w:r>
    </w:p>
    <w:p>
      <w:pPr>
        <w:pStyle w:val="0"/>
        <w:jc w:val="both"/>
        <w:rPr>
          <w:rFonts w:hint="default"/>
          <w:color w:val="000000" w:themeColor="text1"/>
        </w:rPr>
      </w:pPr>
      <w:r>
        <w:rPr>
          <w:rFonts w:hint="default"/>
          <w:color w:val="000000" w:themeColor="text1"/>
        </w:rPr>
        <w:t>とりまとめられ</w:t>
      </w:r>
      <w:r>
        <w:rPr>
          <w:rFonts w:hint="eastAsia"/>
          <w:color w:val="000000" w:themeColor="text1"/>
        </w:rPr>
        <w:t>ました。</w:t>
      </w:r>
    </w:p>
    <w:p>
      <w:pPr>
        <w:pStyle w:val="0"/>
        <w:ind w:firstLine="240"/>
        <w:jc w:val="both"/>
        <w:rPr>
          <w:rFonts w:hint="default"/>
        </w:rPr>
      </w:pPr>
      <w:r>
        <w:rPr>
          <w:rFonts w:hint="eastAsia"/>
        </w:rPr>
        <w:t>また、計画を主担する健康福祉部だけでなく、介護保険を主担する市民部などの庁内の関係部署が連携して問題意識を共有し、相互に協力して計画の検討及び立案ができる庁内体制をとりました。</w:t>
      </w:r>
    </w:p>
    <w:p>
      <w:pPr>
        <w:pStyle w:val="0"/>
        <w:rPr>
          <w:rFonts w:hint="default"/>
        </w:rPr>
      </w:pPr>
    </w:p>
    <w:p>
      <w:pPr>
        <w:pStyle w:val="4"/>
        <w:ind w:left="0" w:leftChars="0"/>
        <w:rPr>
          <w:rFonts w:hint="default" w:ascii="メイリオ" w:hAnsi="メイリオ" w:eastAsia="メイリオ"/>
          <w:b w:val="0"/>
          <w:sz w:val="28"/>
        </w:rPr>
      </w:pPr>
      <w:bookmarkStart w:id="17" w:name="_Toc59007749"/>
      <w:r>
        <w:rPr>
          <w:rFonts w:hint="eastAsia" w:ascii="メイリオ" w:hAnsi="メイリオ" w:eastAsia="メイリオ"/>
          <w:b w:val="0"/>
          <w:sz w:val="28"/>
        </w:rPr>
        <w:t>（２）市民参加と周知</w:t>
      </w:r>
      <w:bookmarkEnd w:id="17"/>
    </w:p>
    <w:p>
      <w:pPr>
        <w:pStyle w:val="0"/>
        <w:ind w:firstLine="240" w:firstLineChars="100"/>
        <w:jc w:val="both"/>
        <w:rPr>
          <w:rFonts w:hint="default"/>
          <w:color w:val="000000" w:themeColor="text1"/>
        </w:rPr>
      </w:pPr>
      <w:r>
        <w:rPr>
          <w:rFonts w:hint="eastAsia"/>
        </w:rPr>
        <w:t>本計画の策定にあたっては、広報活動の充実を図るとともに、箕面市市民参加条例等の趣旨をふまえ、意見の募集（パブリックコメントの実施）など、多様な市民参加と広報を展開し、市民の意見・提言を計画に反映することに努めま</w:t>
      </w:r>
      <w:r>
        <w:rPr>
          <w:rFonts w:hint="eastAsia"/>
          <w:color w:val="000000" w:themeColor="text1"/>
        </w:rPr>
        <w:t>した。</w:t>
      </w:r>
    </w:p>
    <w:p>
      <w:pPr>
        <w:pStyle w:val="0"/>
        <w:rPr>
          <w:rFonts w:hint="default"/>
        </w:rPr>
      </w:pPr>
    </w:p>
    <w:p>
      <w:pPr>
        <w:pStyle w:val="4"/>
        <w:ind w:left="0" w:leftChars="0"/>
        <w:rPr>
          <w:rFonts w:hint="default" w:ascii="メイリオ" w:hAnsi="メイリオ" w:eastAsia="メイリオ"/>
          <w:b w:val="0"/>
          <w:sz w:val="28"/>
        </w:rPr>
      </w:pPr>
      <w:bookmarkStart w:id="18" w:name="_Toc59007750"/>
      <w:r>
        <w:rPr>
          <w:rFonts w:hint="eastAsia" w:ascii="メイリオ" w:hAnsi="メイリオ" w:eastAsia="メイリオ"/>
          <w:b w:val="0"/>
          <w:sz w:val="28"/>
        </w:rPr>
        <w:t>（３）高齢者等実態調査結果等の反映</w:t>
      </w:r>
      <w:bookmarkEnd w:id="18"/>
    </w:p>
    <w:p>
      <w:pPr>
        <w:pStyle w:val="0"/>
        <w:ind w:firstLine="240" w:firstLineChars="100"/>
        <w:jc w:val="both"/>
        <w:rPr>
          <w:rFonts w:hint="default"/>
        </w:rPr>
      </w:pPr>
      <w:r>
        <w:rPr>
          <w:rFonts w:hint="eastAsia"/>
        </w:rPr>
        <w:t>令和２年</w:t>
      </w:r>
      <w:r>
        <w:rPr>
          <w:rFonts w:hint="eastAsia"/>
        </w:rPr>
        <w:t>(</w:t>
      </w:r>
      <w:r>
        <w:rPr>
          <w:rFonts w:hint="default"/>
        </w:rPr>
        <w:t>20</w:t>
      </w:r>
      <w:r>
        <w:rPr>
          <w:rFonts w:hint="eastAsia"/>
        </w:rPr>
        <w:t>20</w:t>
      </w:r>
      <w:r>
        <w:rPr>
          <w:rFonts w:hint="default"/>
        </w:rPr>
        <w:t>年</w:t>
      </w:r>
      <w:r>
        <w:rPr>
          <w:rFonts w:hint="eastAsia"/>
        </w:rPr>
        <w:t>)</w:t>
      </w:r>
      <w:r>
        <w:rPr>
          <w:rFonts w:hint="eastAsia"/>
        </w:rPr>
        <w:t>１</w:t>
      </w:r>
      <w:r>
        <w:rPr>
          <w:rFonts w:hint="default"/>
        </w:rPr>
        <w:t>月</w:t>
      </w:r>
      <w:r>
        <w:rPr>
          <w:rFonts w:hint="eastAsia"/>
        </w:rPr>
        <w:t>から２月にかけて</w:t>
      </w:r>
      <w:r>
        <w:rPr>
          <w:rFonts w:hint="default"/>
        </w:rPr>
        <w:t>本計画策定のためのアンケート調査を実施し、</w:t>
      </w:r>
    </w:p>
    <w:p>
      <w:pPr>
        <w:pStyle w:val="0"/>
        <w:jc w:val="both"/>
        <w:rPr>
          <w:rFonts w:hint="default"/>
        </w:rPr>
      </w:pPr>
      <w:r>
        <w:rPr>
          <w:rFonts w:hint="default"/>
        </w:rPr>
        <w:t>第１号被保険者、第２号被保険者及び要支援・要介護認定者</w:t>
      </w:r>
      <w:r>
        <w:rPr>
          <w:rFonts w:hint="eastAsia"/>
        </w:rPr>
        <w:t>の利用者</w:t>
      </w:r>
      <w:r>
        <w:rPr>
          <w:rFonts w:hint="default"/>
        </w:rPr>
        <w:t>の生活実態、ニーズなどの的確な把握に努め、分析結果を本計画に反映しました。</w:t>
      </w:r>
    </w:p>
    <w:p>
      <w:pPr>
        <w:pStyle w:val="0"/>
        <w:ind w:firstLine="240" w:firstLineChars="100"/>
        <w:jc w:val="both"/>
        <w:rPr>
          <w:rFonts w:hint="default"/>
        </w:rPr>
      </w:pPr>
      <w:r>
        <w:rPr>
          <w:rFonts w:hint="eastAsia"/>
        </w:rPr>
        <w:t>また、令和２</w:t>
      </w:r>
      <w:r>
        <w:rPr>
          <w:rFonts w:hint="default"/>
        </w:rPr>
        <w:t>年</w:t>
      </w:r>
      <w:r>
        <w:rPr>
          <w:rFonts w:hint="eastAsia"/>
        </w:rPr>
        <w:t>(</w:t>
      </w:r>
      <w:r>
        <w:rPr>
          <w:rFonts w:hint="default"/>
        </w:rPr>
        <w:t>20</w:t>
      </w:r>
      <w:r>
        <w:rPr>
          <w:rFonts w:hint="eastAsia"/>
        </w:rPr>
        <w:t>20</w:t>
      </w:r>
      <w:r>
        <w:rPr>
          <w:rFonts w:hint="default"/>
        </w:rPr>
        <w:t>年</w:t>
      </w:r>
      <w:r>
        <w:rPr>
          <w:rFonts w:hint="eastAsia"/>
        </w:rPr>
        <w:t>)</w:t>
      </w:r>
      <w:r>
        <w:rPr>
          <w:rFonts w:hint="eastAsia"/>
        </w:rPr>
        <w:t>２月から６月にかけて、家族介護者を対象に在宅介護実態調査</w:t>
      </w:r>
    </w:p>
    <w:p>
      <w:pPr>
        <w:pStyle w:val="0"/>
        <w:jc w:val="both"/>
        <w:rPr>
          <w:rFonts w:hint="default"/>
        </w:rPr>
      </w:pPr>
      <w:r>
        <w:rPr>
          <w:rFonts w:hint="eastAsia"/>
        </w:rPr>
        <w:t>を実施したほか、同年７</w:t>
      </w:r>
      <w:r>
        <w:rPr>
          <w:rFonts w:hint="default"/>
        </w:rPr>
        <w:t>月から</w:t>
      </w:r>
      <w:r>
        <w:rPr>
          <w:rFonts w:hint="eastAsia"/>
        </w:rPr>
        <w:t>８</w:t>
      </w:r>
      <w:r>
        <w:rPr>
          <w:rFonts w:hint="default"/>
        </w:rPr>
        <w:t>月にかけて介護サービス事業者及び介護者団体を対象とした</w:t>
      </w:r>
      <w:r>
        <w:rPr>
          <w:rFonts w:hint="eastAsia"/>
        </w:rPr>
        <w:t>アンケート</w:t>
      </w:r>
      <w:r>
        <w:rPr>
          <w:rFonts w:hint="default"/>
        </w:rPr>
        <w:t>を実施し、事業者や介護者から得られた意見等を本計画に反映しました。</w:t>
      </w:r>
    </w:p>
    <w:p>
      <w:pPr>
        <w:pStyle w:val="0"/>
        <w:rPr>
          <w:rFonts w:hint="default"/>
        </w:rPr>
      </w:pPr>
    </w:p>
    <w:p>
      <w:pPr>
        <w:pStyle w:val="4"/>
        <w:ind w:left="0" w:leftChars="0"/>
        <w:rPr>
          <w:rFonts w:hint="default" w:ascii="メイリオ" w:hAnsi="メイリオ" w:eastAsia="メイリオ"/>
          <w:b w:val="0"/>
          <w:sz w:val="28"/>
        </w:rPr>
      </w:pPr>
      <w:bookmarkStart w:id="19" w:name="_Toc59007751"/>
      <w:r>
        <w:rPr>
          <w:rFonts w:hint="eastAsia" w:ascii="メイリオ" w:hAnsi="メイリオ" w:eastAsia="メイリオ"/>
          <w:b w:val="0"/>
          <w:sz w:val="28"/>
        </w:rPr>
        <w:t>（４）大阪府との連携</w:t>
      </w:r>
      <w:bookmarkEnd w:id="19"/>
    </w:p>
    <w:p>
      <w:pPr>
        <w:pStyle w:val="0"/>
        <w:ind w:firstLine="240" w:firstLineChars="100"/>
        <w:jc w:val="both"/>
        <w:rPr>
          <w:rFonts w:hint="default"/>
        </w:rPr>
      </w:pPr>
      <w:r>
        <w:rPr>
          <w:rFonts w:hint="eastAsia"/>
        </w:rPr>
        <w:t>本計画の策定にあたっては、計画作成上の技術的事項に関する助言や、施設の整備等に関する広域的調整を担う大阪府との連携が重要です。本市では、適宜、大阪府と意見交換の機会を持ちながら、</w:t>
      </w:r>
      <w:r>
        <w:rPr>
          <w:rFonts w:hint="default"/>
        </w:rPr>
        <w:t>本計画</w:t>
      </w:r>
      <w:r>
        <w:rPr>
          <w:rFonts w:hint="eastAsia"/>
        </w:rPr>
        <w:t>の</w:t>
      </w:r>
      <w:r>
        <w:rPr>
          <w:rFonts w:hint="default"/>
        </w:rPr>
        <w:t>策定</w:t>
      </w:r>
      <w:r>
        <w:rPr>
          <w:rFonts w:hint="eastAsia"/>
        </w:rPr>
        <w:t>に取り組みました。</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3"/>
        <w:ind w:left="0" w:leftChars="0"/>
        <w:rPr>
          <w:rFonts w:hint="default" w:ascii="メイリオ" w:hAnsi="メイリオ" w:eastAsia="メイリオ"/>
          <w:b w:val="1"/>
          <w:sz w:val="28"/>
          <w:u w:val="single" w:color="auto"/>
        </w:rPr>
      </w:pPr>
      <w:bookmarkStart w:id="20" w:name="_Toc59007752"/>
      <w:r>
        <w:rPr>
          <w:rFonts w:hint="eastAsia" w:ascii="メイリオ" w:hAnsi="メイリオ" w:eastAsia="メイリオ"/>
          <w:b w:val="1"/>
          <w:sz w:val="32"/>
          <w:u w:val="single" w:color="auto"/>
        </w:rPr>
        <w:t>６．計画や制度の周知</w:t>
      </w:r>
      <w:bookmarkEnd w:id="20"/>
      <w:r>
        <w:rPr>
          <w:rFonts w:hint="eastAsia" w:ascii="メイリオ" w:hAnsi="メイリオ" w:eastAsia="メイリオ"/>
          <w:b w:val="1"/>
          <w:sz w:val="32"/>
          <w:u w:val="single" w:color="auto"/>
        </w:rPr>
        <w:t>　　　　　　　　　　　　　　　　　　　　　　　　　</w:t>
      </w:r>
    </w:p>
    <w:p>
      <w:pPr>
        <w:pStyle w:val="0"/>
        <w:ind w:firstLine="240" w:firstLineChars="100"/>
        <w:jc w:val="both"/>
        <w:rPr>
          <w:rFonts w:hint="default"/>
        </w:rPr>
      </w:pPr>
      <w:r>
        <w:rPr>
          <w:rFonts w:hint="eastAsia"/>
        </w:rPr>
        <w:t>本計画策定後も、市民の意見を反映しながら、計画を円滑に推進していくために、広報紙もみじだよりやコミュニティＦＭ放送（タッキー</w:t>
      </w:r>
      <w:r>
        <w:rPr>
          <w:rFonts w:hint="default"/>
        </w:rPr>
        <w:t>816</w:t>
      </w:r>
      <w:r>
        <w:rPr>
          <w:rFonts w:hint="default"/>
        </w:rPr>
        <w:t>）、市ホームページなどを充分に活用し、制度や事業に関する市民への広報に努めます。また、民間事業者や各種団体などが発信する情報を収集し、必要に応じて、市民へ情報提供していきます。</w:t>
      </w:r>
    </w:p>
    <w:p>
      <w:pPr>
        <w:pStyle w:val="0"/>
        <w:ind w:firstLine="240" w:firstLineChars="100"/>
        <w:jc w:val="both"/>
        <w:rPr>
          <w:rFonts w:hint="default"/>
        </w:rPr>
      </w:pPr>
      <w:r>
        <w:rPr>
          <w:rFonts w:hint="eastAsia"/>
        </w:rPr>
        <w:t>特に、情報が行き届きにくいひとり暮らし高齢者、認知症高齢者、障害者、外国人等に配慮しながら、高齢者や介護者を含め、幅広く市民へわかりやすい説明を行うよう努めるとともに、本計画書の点字版・音訳版の作成等を行います。</w:t>
      </w:r>
    </w:p>
    <w:p>
      <w:pPr>
        <w:pStyle w:val="0"/>
        <w:rPr>
          <w:rFonts w:hint="default"/>
        </w:rPr>
      </w:pPr>
    </w:p>
    <w:p>
      <w:pPr>
        <w:pStyle w:val="0"/>
        <w:rPr>
          <w:rFonts w:hint="default"/>
        </w:rPr>
      </w:pPr>
    </w:p>
    <w:p>
      <w:pPr>
        <w:pStyle w:val="0"/>
        <w:rPr>
          <w:rFonts w:hint="default"/>
        </w:rPr>
      </w:pPr>
    </w:p>
    <w:p>
      <w:pPr>
        <w:pStyle w:val="2"/>
        <w:rPr>
          <w:rFonts w:hint="default"/>
        </w:rPr>
      </w:pPr>
      <w:bookmarkStart w:id="21" w:name="_Hlk499199831"/>
      <w:bookmarkEnd w:id="21"/>
      <w:bookmarkStart w:id="22" w:name="_Toc402170961"/>
      <w:bookmarkEnd w:id="22"/>
      <w:bookmarkStart w:id="23" w:name="_Toc405397072"/>
      <w:bookmarkEnd w:id="23"/>
      <w:bookmarkStart w:id="24" w:name="_Toc405397073"/>
      <w:bookmarkEnd w:id="24"/>
      <w:bookmarkStart w:id="25" w:name="_Toc405397076"/>
      <w:bookmarkEnd w:id="25"/>
      <w:bookmarkStart w:id="26" w:name="_Toc405397082"/>
      <w:bookmarkEnd w:id="26"/>
      <w:bookmarkStart w:id="27" w:name="_Toc417551024"/>
      <w:bookmarkEnd w:id="27"/>
      <w:bookmarkStart w:id="28" w:name="_Toc417551028"/>
      <w:bookmarkEnd w:id="28"/>
      <w:bookmarkStart w:id="29" w:name="_Toc417551033"/>
      <w:bookmarkEnd w:id="29"/>
      <w:bookmarkStart w:id="30" w:name="_Toc417551034"/>
      <w:bookmarkEnd w:id="30"/>
      <w:bookmarkStart w:id="31" w:name="_Toc45876027"/>
      <w:bookmarkEnd w:id="31"/>
      <w:bookmarkStart w:id="32" w:name="_Toc497929519"/>
      <w:bookmarkEnd w:id="32"/>
      <w:bookmarkStart w:id="33" w:name="_Toc512263428"/>
      <w:bookmarkEnd w:id="33"/>
      <w:bookmarkStart w:id="34" w:name="_Toc512263441"/>
      <w:bookmarkEnd w:id="34"/>
      <w:bookmarkStart w:id="35" w:name="_Toc512263450"/>
      <w:bookmarkEnd w:id="35"/>
      <w:bookmarkStart w:id="36" w:name="_Toc512263451"/>
      <w:bookmarkEnd w:id="36"/>
      <w:bookmarkStart w:id="37" w:name="_Toc512263467"/>
      <w:bookmarkEnd w:id="37"/>
      <w:bookmarkStart w:id="38" w:name="_Toc512263470"/>
      <w:bookmarkEnd w:id="38"/>
      <w:bookmarkStart w:id="39" w:name="_Toc512263476"/>
      <w:bookmarkEnd w:id="39"/>
      <w:bookmarkStart w:id="40" w:name="_Toc512263477"/>
      <w:bookmarkEnd w:id="40"/>
      <w:bookmarkStart w:id="41" w:name="_Toc512263478"/>
      <w:bookmarkEnd w:id="41"/>
      <w:bookmarkStart w:id="42" w:name="_Toc512263479"/>
      <w:bookmarkEnd w:id="42"/>
      <w:bookmarkStart w:id="43" w:name="_Toc512263480"/>
      <w:bookmarkEnd w:id="43"/>
      <w:bookmarkStart w:id="44" w:name="_Toc512263481"/>
      <w:bookmarkEnd w:id="44"/>
      <w:bookmarkStart w:id="45" w:name="_Toc512263482"/>
      <w:bookmarkEnd w:id="45"/>
      <w:bookmarkStart w:id="46" w:name="_Toc512263483"/>
      <w:bookmarkEnd w:id="46"/>
      <w:bookmarkStart w:id="47" w:name="_Toc512263484"/>
      <w:bookmarkEnd w:id="47"/>
      <w:bookmarkStart w:id="48" w:name="_Toc512263485"/>
      <w:bookmarkEnd w:id="48"/>
      <w:bookmarkStart w:id="49" w:name="_Toc512263486"/>
      <w:bookmarkEnd w:id="49"/>
      <w:bookmarkStart w:id="50" w:name="_Toc512263487"/>
      <w:bookmarkEnd w:id="50"/>
      <w:bookmarkStart w:id="51" w:name="_Toc512263489"/>
      <w:bookmarkEnd w:id="51"/>
      <w:bookmarkStart w:id="52" w:name="_Toc512263490"/>
      <w:bookmarkEnd w:id="52"/>
      <w:bookmarkStart w:id="53" w:name="_Toc512263491"/>
      <w:bookmarkEnd w:id="53"/>
      <w:bookmarkStart w:id="54" w:name="_Toc512263492"/>
      <w:bookmarkEnd w:id="54"/>
      <w:bookmarkStart w:id="55" w:name="_Toc512263493"/>
      <w:bookmarkEnd w:id="55"/>
      <w:bookmarkStart w:id="56" w:name="_Toc512263494"/>
      <w:bookmarkEnd w:id="56"/>
      <w:bookmarkStart w:id="57" w:name="_Toc512263495"/>
      <w:bookmarkEnd w:id="57"/>
      <w:bookmarkStart w:id="58" w:name="_Toc512263496"/>
      <w:bookmarkEnd w:id="58"/>
      <w:bookmarkStart w:id="59" w:name="_Toc512263497"/>
      <w:bookmarkEnd w:id="59"/>
      <w:bookmarkStart w:id="60" w:name="_Toc512263498"/>
      <w:bookmarkEnd w:id="60"/>
      <w:bookmarkStart w:id="61" w:name="_Toc512263499"/>
      <w:bookmarkEnd w:id="61"/>
      <w:bookmarkStart w:id="62" w:name="_Toc512263502"/>
      <w:bookmarkEnd w:id="62"/>
      <w:bookmarkStart w:id="63" w:name="_Toc512263512"/>
      <w:bookmarkEnd w:id="63"/>
      <w:bookmarkStart w:id="64" w:name="_Toc512263519"/>
      <w:bookmarkEnd w:id="64"/>
    </w:p>
    <w:sectPr>
      <w:pgSz w:w="11906" w:h="16838"/>
      <w:pgMar w:top="1440" w:right="1080" w:bottom="1440" w:left="1080"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044657471"/>
      <w:docPartObj>
        <w:docPartGallery w:val="Page Numbers (Bottom of Page)"/>
        <w:docPartUnique/>
      </w:docPartObj>
    </w:sdtPr>
    <w:sdtEndPr>
      <w:rPr>
        <w:rFonts w:hint="default"/>
      </w:rPr>
    </w:sdtEndPr>
    <w:sdtContent>
      <w:p>
        <w:pPr>
          <w:pStyle w:val="24"/>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6</w:t>
        </w:r>
        <w:r>
          <w:rPr>
            <w:rFonts w:hint="eastAsia"/>
          </w:rPr>
          <w:fldChar w:fldCharType="end"/>
        </w:r>
      </w:p>
    </w:sdtContent>
  </w:sdt>
  <w:p>
    <w:pPr>
      <w:pStyle w:val="0"/>
      <w:rPr>
        <w:rFonts w:hint="default"/>
      </w:rPr>
    </w:pPr>
  </w:p>
</w:ftr>
</file>

<file path=word/footnotes.xml><?xml version="1.0" encoding="utf-8"?>
<w:footnot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otnote w:id="1">
    <w:p>
      <w:pPr>
        <w:pStyle w:val="55"/>
        <w:rPr>
          <w:rFonts w:hint="default"/>
        </w:rPr>
      </w:pPr>
      <w:r>
        <w:rPr>
          <w:rFonts w:hint="eastAsia"/>
          <w:sz w:val="18"/>
        </w:rPr>
        <w:t>※</w:t>
      </w:r>
      <w:r>
        <w:rPr>
          <w:rStyle w:val="42"/>
          <w:rFonts w:hint="default"/>
          <w:sz w:val="18"/>
          <w:vertAlign w:val="baseline"/>
        </w:rPr>
        <w:footnoteRef/>
      </w:r>
      <w:r>
        <w:rPr>
          <w:rFonts w:hint="eastAsia"/>
          <w:sz w:val="18"/>
        </w:rPr>
        <w:t>　仕事をどのような過程で回す事が効率よく業務を行えるようになるかという理論のことをいう。第二次世界大戦後にアメリカの物理学者ウォルター・シューハートと物理学者エドワーズ・デミングにより提唱された理論で、</w:t>
      </w:r>
      <w:r>
        <w:rPr>
          <w:rFonts w:hint="default"/>
          <w:sz w:val="18"/>
        </w:rPr>
        <w:t>Plan(</w:t>
      </w:r>
      <w:r>
        <w:rPr>
          <w:rFonts w:hint="default"/>
          <w:sz w:val="18"/>
        </w:rPr>
        <w:t>計画</w:t>
      </w:r>
      <w:r>
        <w:rPr>
          <w:rFonts w:hint="default"/>
          <w:sz w:val="18"/>
        </w:rPr>
        <w:t>)</w:t>
      </w:r>
      <w:r>
        <w:rPr>
          <w:rFonts w:hint="default"/>
          <w:sz w:val="18"/>
        </w:rPr>
        <w:t>・</w:t>
      </w:r>
      <w:r>
        <w:rPr>
          <w:rFonts w:hint="default"/>
          <w:sz w:val="18"/>
        </w:rPr>
        <w:t>Do(</w:t>
      </w:r>
      <w:r>
        <w:rPr>
          <w:rFonts w:hint="default"/>
          <w:sz w:val="18"/>
        </w:rPr>
        <w:t>実行</w:t>
      </w:r>
      <w:r>
        <w:rPr>
          <w:rFonts w:hint="default"/>
          <w:sz w:val="18"/>
        </w:rPr>
        <w:t>)</w:t>
      </w:r>
      <w:r>
        <w:rPr>
          <w:rFonts w:hint="default"/>
          <w:sz w:val="18"/>
        </w:rPr>
        <w:t>・</w:t>
      </w:r>
      <w:r>
        <w:rPr>
          <w:rFonts w:hint="default"/>
          <w:sz w:val="18"/>
        </w:rPr>
        <w:t>Check(</w:t>
      </w:r>
      <w:r>
        <w:rPr>
          <w:rFonts w:hint="default"/>
          <w:sz w:val="18"/>
        </w:rPr>
        <w:t>点検・評価</w:t>
      </w:r>
      <w:r>
        <w:rPr>
          <w:rFonts w:hint="default"/>
          <w:sz w:val="18"/>
        </w:rPr>
        <w:t>)</w:t>
      </w:r>
      <w:r>
        <w:rPr>
          <w:rFonts w:hint="default"/>
          <w:sz w:val="18"/>
        </w:rPr>
        <w:t>・</w:t>
      </w:r>
      <w:r>
        <w:rPr>
          <w:rFonts w:hint="default"/>
          <w:sz w:val="18"/>
        </w:rPr>
        <w:t>Act(</w:t>
      </w:r>
      <w:r>
        <w:rPr>
          <w:rFonts w:hint="default"/>
          <w:sz w:val="18"/>
        </w:rPr>
        <w:t>改善・処置</w:t>
      </w:r>
      <w:r>
        <w:rPr>
          <w:rFonts w:hint="default"/>
          <w:sz w:val="18"/>
        </w:rPr>
        <w:t>)</w:t>
      </w:r>
      <w:r>
        <w:rPr>
          <w:rFonts w:hint="default"/>
          <w:sz w:val="18"/>
        </w:rPr>
        <w:t>の頭文字を取って</w:t>
      </w:r>
      <w:r>
        <w:rPr>
          <w:rFonts w:hint="eastAsia"/>
          <w:sz w:val="18"/>
        </w:rPr>
        <w:t>ＰＤＣＡ</w:t>
      </w:r>
      <w:r>
        <w:rPr>
          <w:rFonts w:hint="default"/>
          <w:sz w:val="18"/>
        </w:rPr>
        <w:t>サイクルと命名された。</w:t>
      </w:r>
    </w:p>
  </w:footnote>
</w:footnote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59"/>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outlineLvl w:val="0"/>
    </w:pPr>
    <w:rPr>
      <w:rFonts w:asciiTheme="majorHAnsi" w:hAnsiTheme="majorHAnsi" w:eastAsiaTheme="majorEastAsia"/>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character" w:styleId="18" w:customStyle="1">
    <w:name w:val="見出し 4 (文字)"/>
    <w:basedOn w:val="10"/>
    <w:next w:val="18"/>
    <w:link w:val="4"/>
    <w:uiPriority w:val="0"/>
    <w:rPr>
      <w:b w:val="1"/>
    </w:rPr>
  </w:style>
  <w:style w:type="character" w:styleId="19" w:customStyle="1">
    <w:name w:val="見出し 5 (文字)"/>
    <w:basedOn w:val="10"/>
    <w:next w:val="19"/>
    <w:link w:val="5"/>
    <w:uiPriority w:val="0"/>
    <w:rPr>
      <w:rFonts w:asciiTheme="majorHAnsi" w:hAnsiTheme="majorHAnsi" w:eastAsiaTheme="majorEastAsia"/>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sz w:val="24"/>
    </w:rPr>
  </w:style>
  <w:style w:type="paragraph" w:styleId="26">
    <w:name w:val="toc 1"/>
    <w:basedOn w:val="0"/>
    <w:next w:val="0"/>
    <w:link w:val="0"/>
    <w:uiPriority w:val="0"/>
  </w:style>
  <w:style w:type="paragraph" w:styleId="27">
    <w:name w:val="toc 2"/>
    <w:basedOn w:val="0"/>
    <w:next w:val="0"/>
    <w:link w:val="0"/>
    <w:uiPriority w:val="0"/>
    <w:pPr>
      <w:ind w:left="210" w:leftChars="100"/>
    </w:pPr>
  </w:style>
  <w:style w:type="character" w:styleId="28">
    <w:name w:val="Hyperlink"/>
    <w:basedOn w:val="10"/>
    <w:next w:val="28"/>
    <w:link w:val="0"/>
    <w:uiPriority w:val="0"/>
    <w:rPr>
      <w:color w:val="0563C1" w:themeColor="hyperlink"/>
      <w:u w:val="single" w:color="auto"/>
    </w:rPr>
  </w:style>
  <w:style w:type="paragraph" w:styleId="29">
    <w:name w:val="toc 3"/>
    <w:basedOn w:val="0"/>
    <w:next w:val="0"/>
    <w:link w:val="0"/>
    <w:uiPriority w:val="0"/>
    <w:pPr>
      <w:ind w:left="420" w:leftChars="2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character" w:styleId="32">
    <w:name w:val="annotation reference"/>
    <w:basedOn w:val="10"/>
    <w:next w:val="32"/>
    <w:link w:val="0"/>
    <w:uiPriority w:val="0"/>
    <w:semiHidden/>
    <w:rPr>
      <w:sz w:val="18"/>
    </w:rPr>
  </w:style>
  <w:style w:type="paragraph" w:styleId="33">
    <w:name w:val="annotation text"/>
    <w:basedOn w:val="0"/>
    <w:next w:val="33"/>
    <w:link w:val="34"/>
    <w:uiPriority w:val="0"/>
    <w:semiHidden/>
  </w:style>
  <w:style w:type="character" w:styleId="34" w:customStyle="1">
    <w:name w:val="コメント文字列 (文字)"/>
    <w:basedOn w:val="10"/>
    <w:next w:val="34"/>
    <w:link w:val="33"/>
    <w:uiPriority w:val="0"/>
  </w:style>
  <w:style w:type="paragraph" w:styleId="35">
    <w:name w:val="annotation subject"/>
    <w:basedOn w:val="33"/>
    <w:next w:val="33"/>
    <w:link w:val="36"/>
    <w:uiPriority w:val="0"/>
    <w:semiHidden/>
    <w:rPr>
      <w:b w:val="1"/>
    </w:rPr>
  </w:style>
  <w:style w:type="character" w:styleId="36" w:customStyle="1">
    <w:name w:val="コメント内容 (文字)"/>
    <w:basedOn w:val="34"/>
    <w:next w:val="36"/>
    <w:link w:val="35"/>
    <w:uiPriority w:val="0"/>
    <w:rPr>
      <w:b w:val="1"/>
    </w:rPr>
  </w:style>
  <w:style w:type="paragraph" w:styleId="37">
    <w:name w:val="toc 4"/>
    <w:basedOn w:val="0"/>
    <w:next w:val="0"/>
    <w:link w:val="0"/>
    <w:uiPriority w:val="0"/>
    <w:pPr>
      <w:tabs>
        <w:tab w:val="right" w:leader="middleDot" w:pos="8494"/>
      </w:tabs>
      <w:ind w:left="720" w:leftChars="300"/>
    </w:pPr>
  </w:style>
  <w:style w:type="paragraph" w:styleId="38" w:customStyle="1">
    <w:name w:val="標準３"/>
    <w:basedOn w:val="0"/>
    <w:next w:val="38"/>
    <w:link w:val="0"/>
    <w:uiPriority w:val="0"/>
    <w:qFormat/>
    <w:pPr>
      <w:widowControl w:val="0"/>
      <w:autoSpaceDE w:val="0"/>
      <w:autoSpaceDN w:val="0"/>
      <w:ind w:left="200" w:leftChars="200"/>
    </w:pPr>
    <w:rPr>
      <w:b w:val="1"/>
      <w:sz w:val="21"/>
    </w:rPr>
  </w:style>
  <w:style w:type="paragraph" w:styleId="39">
    <w:name w:val="toc 5"/>
    <w:basedOn w:val="0"/>
    <w:next w:val="0"/>
    <w:link w:val="0"/>
    <w:uiPriority w:val="0"/>
    <w:pPr>
      <w:ind w:left="960" w:leftChars="400"/>
    </w:pPr>
  </w:style>
  <w:style w:type="paragraph" w:styleId="40" w:customStyle="1">
    <w:name w:val="文言1"/>
    <w:basedOn w:val="0"/>
    <w:next w:val="40"/>
    <w:link w:val="41"/>
    <w:uiPriority w:val="0"/>
    <w:qFormat/>
    <w:pPr>
      <w:widowControl w:val="0"/>
      <w:autoSpaceDE w:val="0"/>
      <w:autoSpaceDN w:val="0"/>
      <w:ind w:left="220" w:leftChars="100" w:firstLine="220" w:firstLineChars="100"/>
      <w:jc w:val="both"/>
    </w:pPr>
    <w:rPr>
      <w:sz w:val="22"/>
    </w:rPr>
  </w:style>
  <w:style w:type="character" w:styleId="41" w:customStyle="1">
    <w:name w:val="文言1 (文字)"/>
    <w:basedOn w:val="10"/>
    <w:next w:val="41"/>
    <w:link w:val="40"/>
    <w:uiPriority w:val="0"/>
    <w:rPr>
      <w:sz w:val="22"/>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paragraph" w:styleId="44" w:customStyle="1">
    <w:name w:val="標準２"/>
    <w:basedOn w:val="0"/>
    <w:next w:val="44"/>
    <w:link w:val="0"/>
    <w:uiPriority w:val="0"/>
    <w:qFormat/>
    <w:pPr>
      <w:widowControl w:val="0"/>
      <w:autoSpaceDE w:val="0"/>
      <w:autoSpaceDN w:val="0"/>
      <w:ind w:left="100" w:leftChars="100" w:hanging="386" w:hangingChars="386"/>
      <w:jc w:val="both"/>
    </w:pPr>
    <w:rPr>
      <w:b w:val="1"/>
      <w:sz w:val="21"/>
    </w:rPr>
  </w:style>
  <w:style w:type="paragraph" w:styleId="45">
    <w:name w:val="List Paragraph"/>
    <w:basedOn w:val="0"/>
    <w:next w:val="45"/>
    <w:link w:val="0"/>
    <w:uiPriority w:val="0"/>
    <w:qFormat/>
    <w:pPr>
      <w:ind w:left="840" w:leftChars="400"/>
    </w:pPr>
  </w:style>
  <w:style w:type="paragraph" w:styleId="46">
    <w:name w:val="Normal (Web)"/>
    <w:basedOn w:val="0"/>
    <w:next w:val="46"/>
    <w:link w:val="0"/>
    <w:uiPriority w:val="0"/>
    <w:qFormat/>
    <w:pPr>
      <w:widowControl w:val="0"/>
      <w:spacing w:before="100" w:beforeLines="0" w:beforeAutospacing="1" w:after="100" w:afterLines="0" w:afterAutospacing="1"/>
      <w:jc w:val="both"/>
    </w:pPr>
    <w:rPr>
      <w:rFonts w:ascii="ＭＳ Ｐゴシック" w:hAnsi="ＭＳ Ｐゴシック" w:eastAsia="ＭＳ Ｐゴシック"/>
      <w:kern w:val="0"/>
    </w:rPr>
  </w:style>
  <w:style w:type="paragraph" w:styleId="47">
    <w:name w:val="toc 7"/>
    <w:basedOn w:val="0"/>
    <w:next w:val="0"/>
    <w:link w:val="0"/>
    <w:uiPriority w:val="0"/>
    <w:pPr>
      <w:widowControl w:val="0"/>
      <w:ind w:left="1260" w:leftChars="600"/>
      <w:jc w:val="both"/>
    </w:pPr>
    <w:rPr>
      <w:rFonts w:asciiTheme="minorHAnsi" w:hAnsiTheme="minorHAnsi" w:eastAsiaTheme="minorEastAsia"/>
      <w:sz w:val="21"/>
    </w:rPr>
  </w:style>
  <w:style w:type="paragraph" w:styleId="48">
    <w:name w:val="toc 6"/>
    <w:basedOn w:val="0"/>
    <w:next w:val="0"/>
    <w:link w:val="0"/>
    <w:uiPriority w:val="0"/>
    <w:pPr>
      <w:widowControl w:val="0"/>
      <w:ind w:left="1050" w:leftChars="500"/>
      <w:jc w:val="both"/>
    </w:pPr>
    <w:rPr>
      <w:rFonts w:asciiTheme="minorHAnsi" w:hAnsiTheme="minorHAnsi" w:eastAsiaTheme="minorEastAsia"/>
      <w:sz w:val="21"/>
    </w:rPr>
  </w:style>
  <w:style w:type="paragraph" w:styleId="49">
    <w:name w:val="toc 8"/>
    <w:basedOn w:val="0"/>
    <w:next w:val="0"/>
    <w:link w:val="0"/>
    <w:uiPriority w:val="0"/>
    <w:pPr>
      <w:widowControl w:val="0"/>
      <w:ind w:left="1470" w:leftChars="700"/>
      <w:jc w:val="both"/>
    </w:pPr>
    <w:rPr>
      <w:rFonts w:asciiTheme="minorHAnsi" w:hAnsiTheme="minorHAnsi" w:eastAsiaTheme="minorEastAsia"/>
      <w:sz w:val="21"/>
    </w:rPr>
  </w:style>
  <w:style w:type="paragraph" w:styleId="50">
    <w:name w:val="toc 9"/>
    <w:basedOn w:val="0"/>
    <w:next w:val="0"/>
    <w:link w:val="0"/>
    <w:uiPriority w:val="0"/>
    <w:pPr>
      <w:widowControl w:val="0"/>
      <w:ind w:left="1680" w:leftChars="800"/>
      <w:jc w:val="both"/>
    </w:pPr>
    <w:rPr>
      <w:rFonts w:asciiTheme="minorHAnsi" w:hAnsiTheme="minorHAnsi" w:eastAsiaTheme="minorEastAsia"/>
      <w:sz w:val="21"/>
    </w:rPr>
  </w:style>
  <w:style w:type="character" w:styleId="51" w:customStyle="1">
    <w:name w:val="未解決のメンション1"/>
    <w:basedOn w:val="10"/>
    <w:next w:val="51"/>
    <w:link w:val="0"/>
    <w:uiPriority w:val="0"/>
    <w:rPr>
      <w:color w:val="605E5C"/>
      <w:shd w:val="clear" w:color="auto" w:fill="E1DFDD"/>
    </w:rPr>
  </w:style>
  <w:style w:type="paragraph" w:styleId="52">
    <w:name w:val="Date"/>
    <w:basedOn w:val="0"/>
    <w:next w:val="0"/>
    <w:link w:val="53"/>
    <w:uiPriority w:val="0"/>
  </w:style>
  <w:style w:type="character" w:styleId="53" w:customStyle="1">
    <w:name w:val="日付 (文字)"/>
    <w:basedOn w:val="10"/>
    <w:next w:val="53"/>
    <w:link w:val="52"/>
    <w:uiPriority w:val="0"/>
  </w:style>
  <w:style w:type="character" w:styleId="54" w:customStyle="1">
    <w:name w:val="mainarea_h2"/>
    <w:basedOn w:val="10"/>
    <w:next w:val="54"/>
    <w:link w:val="0"/>
    <w:uiPriority w:val="0"/>
    <w:qFormat/>
    <w:rPr>
      <w:sz w:val="30"/>
    </w:rPr>
  </w:style>
  <w:style w:type="paragraph" w:styleId="55">
    <w:name w:val="footnote text"/>
    <w:basedOn w:val="0"/>
    <w:next w:val="55"/>
    <w:link w:val="56"/>
    <w:uiPriority w:val="0"/>
    <w:semiHidden/>
    <w:pPr>
      <w:snapToGrid w:val="0"/>
    </w:pPr>
  </w:style>
  <w:style w:type="character" w:styleId="56" w:customStyle="1">
    <w:name w:val="脚注文字列 (文字)"/>
    <w:basedOn w:val="10"/>
    <w:next w:val="56"/>
    <w:link w:val="55"/>
    <w:uiPriority w:val="0"/>
  </w:style>
  <w:style w:type="paragraph" w:styleId="57">
    <w:name w:val="endnote text"/>
    <w:basedOn w:val="0"/>
    <w:next w:val="57"/>
    <w:link w:val="58"/>
    <w:uiPriority w:val="0"/>
    <w:semiHidden/>
    <w:pPr>
      <w:snapToGrid w:val="0"/>
    </w:pPr>
  </w:style>
  <w:style w:type="character" w:styleId="58" w:customStyle="1">
    <w:name w:val="文末脚注文字列 (文字)"/>
    <w:basedOn w:val="10"/>
    <w:next w:val="58"/>
    <w:link w:val="57"/>
    <w:uiPriority w:val="0"/>
  </w:style>
  <w:style w:type="table" w:styleId="59" w:customStyle="1">
    <w:name w:val="表（シンプル 1）"/>
    <w:basedOn w:val="11"/>
    <w:next w:val="59"/>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0">
    <w:name w:val="Table Grid"/>
    <w:basedOn w:val="11"/>
    <w:next w:val="60"/>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 Id="rId10" Type="http://schemas.openxmlformats.org/officeDocument/2006/relationships/header" Target="header2.xml" /><Relationship Id="rId11" Type="http://schemas.openxmlformats.org/officeDocument/2006/relationships/footnotes" Target="footnotes.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9564</TotalTime>
  <Pages>6</Pages>
  <Words>48</Words>
  <Characters>4195</Characters>
  <Application>JUST Note</Application>
  <Lines>298</Lines>
  <Paragraphs>70</Paragraphs>
  <CharactersWithSpaces>4378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仲里 裕樹</dc:creator>
  <cp:lastModifiedBy>兒玉　愛(手動)</cp:lastModifiedBy>
  <cp:lastPrinted>2020-12-23T04:41:07Z</cp:lastPrinted>
  <dcterms:created xsi:type="dcterms:W3CDTF">2020-06-22T01:14:00Z</dcterms:created>
  <dcterms:modified xsi:type="dcterms:W3CDTF">2020-12-25T03:51:23Z</dcterms:modified>
  <cp:revision>686</cp:revision>
</cp:coreProperties>
</file>