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-713740</wp:posOffset>
                </wp:positionV>
                <wp:extent cx="1125855" cy="4845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2585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イメージ例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-56.2pt;margin-left:335.45pt;mso-position-horizontal-relative:text;mso-position-vertical-relative:text;position:absolute;height:38.15pt;width:88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イメージ例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2"/>
        </w:rPr>
        <w:t>●●サークル会則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●●年●●月　結成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１．会の名称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●●サークル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２．会の目的・活動内容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●●について●●●するため、毎週●曜日に●●をする。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３．会員・入退会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本会の会員はこの会の目的に賛同し、入会した者とする。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会員として入会する者は、入会届を提出することとする。</w:t>
      </w:r>
    </w:p>
    <w:p>
      <w:pPr>
        <w:pStyle w:val="0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退会時は、退会届を提出するものとする。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４．役員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会長：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　会計：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その他、必要に応じて役員をおくことができる。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５．会計・会費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本会の会費は、月額　●●●円とする。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会計年度は●月末をもって決算し、会計報告を行う。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６．運営</w:t>
      </w:r>
    </w:p>
    <w:p>
      <w:pPr>
        <w:pStyle w:val="0"/>
        <w:ind w:left="0" w:leftChars="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　本会は、年間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回の定期総会により、会の活動・予算・決算について、承認のもと運営を行う。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７．付則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会則を変更する場合は、●●会で決める。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この会則は平成●●年●●月●●日より実施する。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690880</wp:posOffset>
                </wp:positionV>
                <wp:extent cx="5386705" cy="8134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38670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会則を作られる際のイメージ例として、ご参考にしてください。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すでに会則等がある場合は、そちらをご提出ください。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54.4pt;margin-left:0pt;mso-position-horizontal-relative:text;mso-position-vertical-relative:text;position:absolute;height:64.05pt;width:424.1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会則を作られる際のイメージ例として、ご参考にしてください。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すでに会則等がある場合は、そちらをご提出ください。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久保田　修也(手動)</cp:lastModifiedBy>
  <cp:lastPrinted>2017-05-26T02:48:34Z</cp:lastPrinted>
  <dcterms:modified xsi:type="dcterms:W3CDTF">2017-05-29T04:23:27Z</dcterms:modified>
  <cp:revision>3</cp:revision>
</cp:coreProperties>
</file>