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１９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【提案書】障害者雇用率</w:t>
      </w:r>
      <w:r>
        <w:rPr>
          <w:rFonts w:hint="eastAsia" w:ascii="ＭＳ 明朝" w:hAnsi="ＭＳ 明朝" w:eastAsia="ＭＳ 明朝"/>
          <w:b w:val="1"/>
          <w:color w:val="000000"/>
          <w:sz w:val="32"/>
        </w:rPr>
        <w:t>（令和４年６月１日現在）</w:t>
      </w:r>
    </w:p>
    <w:tbl>
      <w:tblPr>
        <w:tblStyle w:val="17"/>
        <w:tblW w:w="0" w:type="auto"/>
        <w:jc w:val="left"/>
        <w:tblInd w:w="6295" w:type="dxa"/>
        <w:tblLayout w:type="fixed"/>
        <w:tblLook w:firstRow="1" w:lastRow="0" w:firstColumn="1" w:lastColumn="0" w:noHBand="0" w:noVBand="1" w:val="04A0"/>
      </w:tblPr>
      <w:tblGrid>
        <w:gridCol w:w="2525"/>
        <w:gridCol w:w="4410"/>
      </w:tblGrid>
      <w:tr>
        <w:trPr>
          <w:trHeight w:val="449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入札者名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（共同参加の代表者名）</w:t>
            </w:r>
          </w:p>
        </w:tc>
        <w:tc>
          <w:tcPr>
            <w:tcW w:w="4410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0"/>
          <w:u w:val="single" w:color="auto"/>
        </w:rPr>
      </w:pPr>
    </w:p>
    <w:tbl>
      <w:tblPr>
        <w:tblStyle w:val="17"/>
        <w:tblW w:w="1314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260"/>
        <w:gridCol w:w="6300"/>
        <w:gridCol w:w="1260"/>
        <w:gridCol w:w="3492"/>
      </w:tblGrid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除外率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42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エ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ウ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雇用障害者数の算定の基礎となる労働者の数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－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常用雇用障害者数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カ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重度の身体及び知的障害者数（短時間労働者除く）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キ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重度以外の身体、知的及び精神障害者数（短時間労働者除く）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ク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短時間労働の重度身体、知的障害者数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ケ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短時間労働の重度以外の身体、知的障害者数及び精神障害者数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コ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カ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キ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ク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ケ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コ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÷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オ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100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※（ア）～（コ）の内容については、令和４年６月１日現在の状況を記載すること</w:t>
      </w:r>
    </w:p>
    <w:p>
      <w:pPr>
        <w:pStyle w:val="0"/>
        <w:ind w:left="0" w:leftChars="0" w:hanging="200" w:hangingChars="1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※障害者の雇用の促進等に関する法律第</w:t>
      </w:r>
      <w:r>
        <w:rPr>
          <w:rFonts w:hint="eastAsia" w:ascii="ＭＳ 明朝" w:hAnsi="ＭＳ 明朝" w:eastAsia="ＭＳ 明朝"/>
          <w:sz w:val="20"/>
          <w:u w:val="none" w:color="auto"/>
        </w:rPr>
        <w:t>43</w:t>
      </w:r>
      <w:r>
        <w:rPr>
          <w:rFonts w:hint="eastAsia" w:ascii="ＭＳ 明朝" w:hAnsi="ＭＳ 明朝" w:eastAsia="ＭＳ 明朝"/>
          <w:sz w:val="20"/>
          <w:u w:val="none" w:color="auto"/>
        </w:rPr>
        <w:t>条第</w:t>
      </w:r>
      <w:r>
        <w:rPr>
          <w:rFonts w:hint="eastAsia" w:ascii="ＭＳ 明朝" w:hAnsi="ＭＳ 明朝" w:eastAsia="ＭＳ 明朝"/>
          <w:sz w:val="20"/>
          <w:u w:val="none" w:color="auto"/>
        </w:rPr>
        <w:t>7</w:t>
      </w:r>
      <w:r>
        <w:rPr>
          <w:rFonts w:hint="eastAsia" w:ascii="ＭＳ 明朝" w:hAnsi="ＭＳ 明朝" w:eastAsia="ＭＳ 明朝"/>
          <w:sz w:val="20"/>
          <w:u w:val="none" w:color="auto"/>
        </w:rPr>
        <w:t>項による障害者雇用状況の報告義務がある事業者（常用雇用労働者数が</w:t>
      </w:r>
      <w:r>
        <w:rPr>
          <w:rFonts w:hint="eastAsia" w:ascii="ＭＳ 明朝" w:hAnsi="ＭＳ 明朝" w:eastAsia="ＭＳ 明朝"/>
          <w:sz w:val="20"/>
          <w:u w:val="none" w:color="auto"/>
        </w:rPr>
        <w:t>43.5</w:t>
      </w:r>
      <w:r>
        <w:rPr>
          <w:rFonts w:hint="eastAsia" w:ascii="ＭＳ 明朝" w:hAnsi="ＭＳ 明朝" w:eastAsia="ＭＳ 明朝"/>
          <w:sz w:val="20"/>
          <w:u w:val="none" w:color="auto"/>
        </w:rPr>
        <w:t>人以上の事業者）については、障害者雇用状況報告書〔事業主控〕の写し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告示日の直前の</w:t>
      </w:r>
      <w:r>
        <w:rPr>
          <w:rFonts w:hint="eastAsia" w:ascii="ＭＳ 明朝" w:hAnsi="ＭＳ 明朝" w:eastAsia="ＭＳ 明朝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日現在のもの）を提出すること。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　➊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契約）期間の定めがなく雇用されている労働者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</w:t>
      </w:r>
      <w:r>
        <w:rPr>
          <w:rFonts w:hint="eastAsia" w:ascii="ＭＳ 明朝" w:hAnsi="ＭＳ 明朝" w:eastAsia="ＭＳ 明朝"/>
          <w:sz w:val="24"/>
          <w:u w:val="none" w:color="auto"/>
          <w:bdr w:val="single" w:color="auto" w:sz="4" w:space="0"/>
        </w:rPr>
        <w:t>　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年を超えて引き続き雇用されると、見込まれる労働者　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　➌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  <w:bdr w:val="single" w:color="auto" w:sz="4" w:space="0"/>
        </w:rPr>
        <w:t>年を超える期間について引き続き雇用されている労働者　　　　　　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20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時間未満であり、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z w:val="20"/>
          <w:u w:val="none" w:color="auto"/>
        </w:rPr>
        <w:t>0.5</w:t>
      </w:r>
      <w:r>
        <w:rPr>
          <w:rFonts w:hint="eastAsia" w:ascii="ＭＳ 明朝" w:hAnsi="ＭＳ 明朝" w:eastAsia="ＭＳ 明朝"/>
          <w:sz w:val="20"/>
          <w:u w:val="none" w:color="auto"/>
        </w:rPr>
        <w:t>人として換算する。</w:t>
      </w:r>
    </w:p>
    <w:p>
      <w:pPr>
        <w:pStyle w:val="0"/>
        <w:tabs>
          <w:tab w:val="left" w:leader="none" w:pos="4783"/>
        </w:tabs>
        <w:ind w:left="0" w:leftChars="0" w:hanging="200" w:hangingChars="1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※重度障害者の換算については、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人あたり</w:t>
      </w:r>
      <w:r>
        <w:rPr>
          <w:rFonts w:hint="eastAsia" w:ascii="ＭＳ 明朝" w:hAnsi="ＭＳ 明朝" w:eastAsia="ＭＳ 明朝"/>
          <w:sz w:val="20"/>
          <w:u w:val="none" w:color="auto"/>
        </w:rPr>
        <w:t>2</w:t>
      </w:r>
      <w:r>
        <w:rPr>
          <w:rFonts w:hint="eastAsia" w:ascii="ＭＳ 明朝" w:hAnsi="ＭＳ 明朝" w:eastAsia="ＭＳ 明朝"/>
          <w:sz w:val="20"/>
          <w:u w:val="none" w:color="auto"/>
        </w:rPr>
        <w:t>人分で換算する。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20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時間未満であり、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z w:val="20"/>
          <w:u w:val="none" w:color="auto"/>
        </w:rPr>
        <w:t>1.0</w:t>
      </w:r>
      <w:r>
        <w:rPr>
          <w:rFonts w:hint="eastAsia" w:ascii="ＭＳ 明朝" w:hAnsi="ＭＳ 明朝" w:eastAsia="ＭＳ 明朝"/>
          <w:sz w:val="20"/>
          <w:u w:val="none" w:color="auto"/>
        </w:rPr>
        <w:t>人として換算する。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ab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※（ア）除外率については、障害者の雇用の促進等に関する法律施行規則　別表第４参照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※共同参加の場合、代表者の雇用の状況を記入する。</w:t>
      </w:r>
    </w:p>
    <w:sectPr>
      <w:pgSz w:w="16838" w:h="11906" w:orient="landscape"/>
      <w:pgMar w:top="567" w:right="1985" w:bottom="510" w:left="1701" w:header="851" w:footer="992" w:gutter="0"/>
      <w:pgBorders w:zOrder="front" w:display="allPages" w:offsetFrom="page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2</Pages>
  <Words>30</Words>
  <Characters>932</Characters>
  <Application>JUST Note</Application>
  <Lines>172</Lines>
  <Paragraphs>56</Paragraphs>
  <Company>箕面市役所</Company>
  <CharactersWithSpaces>999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印藤　光洋(手動)</cp:lastModifiedBy>
  <cp:lastPrinted>2022-06-14T06:02:50Z</cp:lastPrinted>
  <dcterms:created xsi:type="dcterms:W3CDTF">2020-03-05T05:58:00Z</dcterms:created>
  <dcterms:modified xsi:type="dcterms:W3CDTF">2022-04-14T07:14:01Z</dcterms:modified>
  <cp:revision>14</cp:revision>
</cp:coreProperties>
</file>