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Spec="left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1260"/>
        <w:gridCol w:w="1050"/>
        <w:gridCol w:w="1050"/>
        <w:gridCol w:w="1050"/>
        <w:gridCol w:w="840"/>
        <w:gridCol w:w="840"/>
        <w:gridCol w:w="840"/>
        <w:gridCol w:w="840"/>
        <w:gridCol w:w="868"/>
        <w:gridCol w:w="1022"/>
        <w:gridCol w:w="1050"/>
        <w:gridCol w:w="1260"/>
        <w:gridCol w:w="1050"/>
        <w:gridCol w:w="105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事業件名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発注者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受注形態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（千円）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期間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施設の概要</w:t>
            </w:r>
          </w:p>
        </w:tc>
        <w:tc>
          <w:tcPr>
            <w:tcW w:w="5432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主な契約内容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用途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構造・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延床面積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90"/>
                <w:sz w:val="18"/>
              </w:rPr>
              <w:t>工事完了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90"/>
                <w:sz w:val="18"/>
              </w:rPr>
              <w:t>年月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対象機器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66"/>
                <w:sz w:val="18"/>
              </w:rPr>
              <w:t>対象建物全体の省エネルギー率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パフォーマンス契約の種類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保証の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有無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計測・検証の有無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29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※「同種業務」とは、公共施設において空調設備更新及び照明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事業で、事業役割を担ったものとする。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※「同規模業務」とは、延床面積１万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千㎡以上の公共施設での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事業で、事業役割を担ったものとする。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※「類似業務」とは、延床面積１万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千㎡以上の複合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施設（公民施設問わず）において空調設備更新及び照明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事業で、事業役割を担ったものとする。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※「パフォーマンス契約の種類」には、「ギャランティード」若しくは「シェアード」のいずれかを記入する。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11</Words>
  <Characters>448</Characters>
  <Application>JUST Note</Application>
  <Lines>276</Lines>
  <Paragraphs>41</Paragraphs>
  <Company>箕面市役所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2022-09-29T01:06:20Z</cp:lastPrinted>
  <dcterms:created xsi:type="dcterms:W3CDTF">2020-03-04T05:54:00Z</dcterms:created>
  <dcterms:modified xsi:type="dcterms:W3CDTF">2022-09-08T05:02:36Z</dcterms:modified>
  <cp:revision>0</cp:revision>
</cp:coreProperties>
</file>