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１２</w:t>
      </w: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【提案書】事業者の同種・類似業務の実績（過去</w:t>
      </w:r>
      <w:r>
        <w:rPr>
          <w:rFonts w:hint="eastAsia" w:ascii="ＭＳ 明朝" w:hAnsi="ＭＳ 明朝" w:eastAsia="ＭＳ 明朝"/>
          <w:b w:val="1"/>
          <w:sz w:val="32"/>
        </w:rPr>
        <w:t>10</w:t>
      </w:r>
      <w:r>
        <w:rPr>
          <w:rFonts w:hint="eastAsia" w:ascii="ＭＳ 明朝" w:hAnsi="ＭＳ 明朝" w:eastAsia="ＭＳ 明朝"/>
          <w:b w:val="1"/>
          <w:sz w:val="32"/>
        </w:rPr>
        <w:t>年間）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clear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tbl>
      <w:tblPr>
        <w:tblStyle w:val="17"/>
        <w:tblpPr w:leftFromText="0" w:rightFromText="0" w:topFromText="0" w:bottomFromText="0" w:vertAnchor="text" w:horzAnchor="margin" w:tblpX="239" w:tblpY="15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630"/>
        <w:gridCol w:w="2520"/>
        <w:gridCol w:w="2730"/>
        <w:gridCol w:w="3150"/>
        <w:gridCol w:w="3840"/>
      </w:tblGrid>
      <w:tr>
        <w:trPr>
          <w:trHeight w:val="360" w:hRule="atLeast"/>
        </w:trPr>
        <w:tc>
          <w:tcPr>
            <w:tcW w:w="630" w:type="dxa"/>
            <w:vMerge w:val="restart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240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同種・類似業務の実績</w:t>
            </w:r>
          </w:p>
        </w:tc>
      </w:tr>
      <w:tr>
        <w:trPr/>
        <w:tc>
          <w:tcPr>
            <w:tcW w:w="63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業務名</w:t>
            </w:r>
          </w:p>
        </w:tc>
        <w:tc>
          <w:tcPr>
            <w:tcW w:w="273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発注者</w:t>
            </w:r>
          </w:p>
        </w:tc>
        <w:tc>
          <w:tcPr>
            <w:tcW w:w="315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金額</w:t>
            </w:r>
          </w:p>
        </w:tc>
        <w:tc>
          <w:tcPr>
            <w:tcW w:w="3840" w:type="dxa"/>
            <w:vAlign w:val="top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業務内容</w:t>
            </w: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63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52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73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15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840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※同種・類似業務での受託実績（受注内容及び受注金額）を評価する。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※業務内容は｢別紙のとおり｣とし、別紙を作成し、添付しても可とする。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※「同種業務」とは、次に掲げるすべての要件を満たす業務とする。</w:t>
      </w:r>
    </w:p>
    <w:p>
      <w:pPr>
        <w:pStyle w:val="0"/>
        <w:ind w:left="419" w:leftChars="1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①官公庁等（国、地方公共団体、法人税法別表第一に掲げる公共法人又は建設業法施行規則第</w:t>
      </w:r>
      <w:r>
        <w:rPr>
          <w:rFonts w:hint="eastAsia" w:ascii="ＭＳ 明朝" w:hAnsi="ＭＳ 明朝" w:eastAsia="ＭＳ 明朝"/>
          <w:sz w:val="24"/>
          <w:u w:val="none" w:color="auto"/>
        </w:rPr>
        <w:t>18</w:t>
      </w:r>
      <w:r>
        <w:rPr>
          <w:rFonts w:hint="eastAsia" w:ascii="ＭＳ 明朝" w:hAnsi="ＭＳ 明朝" w:eastAsia="ＭＳ 明朝"/>
          <w:sz w:val="24"/>
          <w:u w:val="none" w:color="auto"/>
        </w:rPr>
        <w:t>条に規定する法人をいう。）が発注した、公園または広場の計画策定もしくは設計業務。（新設・改修（再整備）の別は問わない。）</w:t>
      </w:r>
    </w:p>
    <w:p>
      <w:pPr>
        <w:pStyle w:val="0"/>
        <w:ind w:left="419" w:leftChars="1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②業務の履行において、市民等の意向を汲むための取り組み（受託者が主体となって開催した市民等参加型イベント（ワークショップ、社会実験又は市民等の意向調査を兼ねた催事）のいずれかに限る）を実施したもの。</w:t>
      </w:r>
    </w:p>
    <w:p>
      <w:pPr>
        <w:pStyle w:val="0"/>
        <w:ind w:left="419" w:leftChars="100" w:hanging="209" w:hangingChars="87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③元請けとして履行（共同企業体の場合は、本委託業務に相当する分担業務を担当した場合に限る）したものであって、本件の入札公告の日から起算して過去</w:t>
      </w:r>
      <w:r>
        <w:rPr>
          <w:rFonts w:hint="eastAsia" w:ascii="ＭＳ 明朝" w:hAnsi="ＭＳ 明朝" w:eastAsia="ＭＳ 明朝"/>
          <w:sz w:val="24"/>
          <w:u w:val="none" w:color="auto"/>
        </w:rPr>
        <w:t>10</w:t>
      </w:r>
      <w:r>
        <w:rPr>
          <w:rFonts w:hint="eastAsia" w:ascii="ＭＳ 明朝" w:hAnsi="ＭＳ 明朝" w:eastAsia="ＭＳ 明朝"/>
          <w:sz w:val="24"/>
          <w:u w:val="none" w:color="auto"/>
        </w:rPr>
        <w:t>年以内に成果物の引渡しが完了したもの。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※「同規模業務」とは、公園または広場の新設・改修（再整備）に係る部分の面積が</w:t>
      </w:r>
      <w:r>
        <w:rPr>
          <w:rFonts w:hint="eastAsia" w:ascii="ＭＳ 明朝" w:hAnsi="ＭＳ 明朝" w:eastAsia="ＭＳ 明朝"/>
          <w:sz w:val="24"/>
          <w:u w:val="none" w:color="auto"/>
        </w:rPr>
        <w:t>8,000</w:t>
      </w:r>
      <w:r>
        <w:rPr>
          <w:rFonts w:hint="eastAsia" w:ascii="ＭＳ 明朝" w:hAnsi="ＭＳ 明朝" w:eastAsia="ＭＳ 明朝"/>
          <w:sz w:val="24"/>
          <w:u w:val="none" w:color="auto"/>
        </w:rPr>
        <w:t>㎡以上の業務とする。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※「類似業務」とは、「同種かつ同規模以上の業務」のうち面積が</w:t>
      </w:r>
      <w:r>
        <w:rPr>
          <w:rFonts w:hint="eastAsia" w:ascii="ＭＳ 明朝" w:hAnsi="ＭＳ 明朝" w:eastAsia="ＭＳ 明朝"/>
          <w:sz w:val="24"/>
          <w:u w:val="none" w:color="auto"/>
        </w:rPr>
        <w:t>2,500</w:t>
      </w:r>
      <w:r>
        <w:rPr>
          <w:rFonts w:hint="eastAsia" w:ascii="ＭＳ 明朝" w:hAnsi="ＭＳ 明朝" w:eastAsia="ＭＳ 明朝"/>
          <w:sz w:val="24"/>
          <w:u w:val="none" w:color="auto"/>
        </w:rPr>
        <w:t>㎡以上の業務とする。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126</TotalTime>
  <Pages>2</Pages>
  <Words>9</Words>
  <Characters>559</Characters>
  <Application>JUST Note</Application>
  <Lines>90</Lines>
  <Paragraphs>26</Paragraphs>
  <Company>箕面市役所</Company>
  <CharactersWithSpaces>593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藤井　章裕(手動)</cp:lastModifiedBy>
  <dcterms:created xsi:type="dcterms:W3CDTF">2020-03-04T05:54:00Z</dcterms:created>
  <dcterms:modified xsi:type="dcterms:W3CDTF">2026-09-03T09:10:06Z</dcterms:modified>
  <cp:revision>8</cp:revision>
</cp:coreProperties>
</file>