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様式</w:t>
      </w:r>
      <w:r>
        <w:rPr>
          <w:rFonts w:hint="eastAsia" w:ascii="ＭＳ 明朝" w:hAnsi="ＭＳ 明朝" w:eastAsia="ＭＳ 明朝"/>
          <w:color w:val="auto"/>
          <w:sz w:val="24"/>
        </w:rPr>
        <w:t>４</w:t>
      </w:r>
      <w:bookmarkStart w:id="0" w:name="_GoBack"/>
      <w:bookmarkEnd w:id="0"/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b w:val="1"/>
          <w:sz w:val="32"/>
        </w:rPr>
      </w:pPr>
      <w:r>
        <w:rPr>
          <w:rFonts w:hint="eastAsia" w:ascii="ＭＳ 明朝" w:hAnsi="ＭＳ 明朝" w:eastAsia="ＭＳ 明朝"/>
          <w:b w:val="1"/>
          <w:sz w:val="32"/>
        </w:rPr>
        <w:t>【提案書】流動比率の状況</w:t>
      </w:r>
    </w:p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sz w:val="24"/>
          <w:u w:val="single" w:color="auto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　　</w:t>
      </w:r>
      <w:r>
        <w:rPr>
          <w:rFonts w:hint="eastAsia" w:ascii="ＭＳ 明朝" w:hAnsi="ＭＳ 明朝" w:eastAsia="ＭＳ 明朝"/>
          <w:sz w:val="24"/>
          <w:u w:val="single" w:color="auto"/>
        </w:rPr>
        <w:t>入札者名：</w:t>
      </w:r>
      <w:r>
        <w:rPr>
          <w:rFonts w:hint="eastAsia" w:ascii="ＭＳ 明朝" w:hAnsi="ＭＳ 明朝" w:eastAsia="ＭＳ 明朝"/>
          <w:sz w:val="24"/>
          <w:highlight w:val="none"/>
          <w:u w:val="single" w:color="auto"/>
          <w:shd w:val="clear" w:color="auto" w:fill="auto"/>
        </w:rPr>
        <w:t>　　　　　　　　　　　　　　　　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tbl>
      <w:tblPr>
        <w:tblStyle w:val="17"/>
        <w:tblpPr w:leftFromText="142" w:rightFromText="142" w:topFromText="0" w:bottomFromText="0" w:vertAnchor="text" w:horzAnchor="text" w:tblpX="1094" w:tblpY="345"/>
        <w:tblW w:w="0" w:type="auto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Look w:firstRow="1" w:lastRow="0" w:firstColumn="1" w:lastColumn="0" w:noHBand="0" w:noVBand="1" w:val="04A0"/>
      </w:tblPr>
      <w:tblGrid>
        <w:gridCol w:w="983"/>
        <w:gridCol w:w="2587"/>
        <w:gridCol w:w="6090"/>
        <w:gridCol w:w="792"/>
      </w:tblGrid>
      <w:tr>
        <w:trPr/>
        <w:tc>
          <w:tcPr>
            <w:tcW w:w="983" w:type="dxa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A</w:t>
            </w:r>
          </w:p>
        </w:tc>
        <w:tc>
          <w:tcPr>
            <w:tcW w:w="2587" w:type="dxa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流動資産</w:t>
            </w:r>
          </w:p>
        </w:tc>
        <w:tc>
          <w:tcPr>
            <w:tcW w:w="609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il"/>
              <w:tr2bl w:val="nil"/>
            </w:tcBorders>
            <w:shd w:val="clear" w:color="auto" w:fill="FFE69A"/>
            <w:vAlign w:val="top"/>
          </w:tcPr>
          <w:p>
            <w:pPr>
              <w:pStyle w:val="0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792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</w:tr>
      <w:tr>
        <w:trPr/>
        <w:tc>
          <w:tcPr>
            <w:tcW w:w="983" w:type="dxa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B</w:t>
            </w:r>
          </w:p>
        </w:tc>
        <w:tc>
          <w:tcPr>
            <w:tcW w:w="2587" w:type="dxa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流動負債</w:t>
            </w:r>
          </w:p>
        </w:tc>
        <w:tc>
          <w:tcPr>
            <w:tcW w:w="609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il"/>
              <w:tr2bl w:val="nil"/>
            </w:tcBorders>
            <w:shd w:val="clear" w:color="auto" w:fill="FFE69A"/>
            <w:vAlign w:val="top"/>
          </w:tcPr>
          <w:p>
            <w:pPr>
              <w:pStyle w:val="0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792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</w:tr>
      <w:tr>
        <w:trPr/>
        <w:tc>
          <w:tcPr>
            <w:tcW w:w="983" w:type="dxa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C</w:t>
            </w:r>
          </w:p>
        </w:tc>
        <w:tc>
          <w:tcPr>
            <w:tcW w:w="2587" w:type="dxa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流動比率（</w:t>
            </w:r>
            <w:r>
              <w:rPr>
                <w:rFonts w:hint="eastAsia"/>
                <w:sz w:val="24"/>
              </w:rPr>
              <w:t>A</w:t>
            </w:r>
            <w:r>
              <w:rPr>
                <w:rFonts w:hint="eastAsia"/>
                <w:sz w:val="24"/>
              </w:rPr>
              <w:t>÷</w:t>
            </w:r>
            <w:r>
              <w:rPr>
                <w:rFonts w:hint="eastAsia"/>
                <w:sz w:val="24"/>
              </w:rPr>
              <w:t>B)</w:t>
            </w:r>
          </w:p>
        </w:tc>
        <w:tc>
          <w:tcPr>
            <w:tcW w:w="609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il"/>
              <w:tr2bl w:val="nil"/>
            </w:tcBorders>
            <w:shd w:val="clear" w:color="auto" w:fill="FFE69A"/>
            <w:vAlign w:val="top"/>
          </w:tcPr>
          <w:p>
            <w:pPr>
              <w:pStyle w:val="0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792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％</w:t>
            </w:r>
          </w:p>
        </w:tc>
      </w:tr>
    </w:tbl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　　　　　　　　　　　　　　　　　　　　※小数点以下２桁目を四捨五入のこと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</w:t>
      </w:r>
      <w:r>
        <w:rPr>
          <w:rFonts w:hint="eastAsia" w:ascii="ＭＳ 明朝" w:hAnsi="ＭＳ 明朝" w:eastAsia="ＭＳ 明朝"/>
          <w:color w:val="auto"/>
          <w:sz w:val="24"/>
          <w:u w:val="none" w:color="auto"/>
        </w:rPr>
        <w:t>令和７年４月１日から令和８年３月３１日</w:t>
      </w:r>
      <w:r>
        <w:rPr>
          <w:rFonts w:hint="eastAsia" w:ascii="ＭＳ 明朝" w:hAnsi="ＭＳ 明朝" w:eastAsia="ＭＳ 明朝"/>
          <w:sz w:val="24"/>
          <w:u w:val="none" w:color="auto"/>
        </w:rPr>
        <w:t>事業年度の有価証券報告書の貸借対照表の数値を用いること。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※決算月が３月以外の場合は、直近の確定した貸借対照表の数値を用いること。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※連結親会社の場合は、連結財務諸表、連結子会社の場合は、単体の財務諸表の数値を用いること。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※数値を引用した書類を添付のうえ、引用数値をマーカーで明示すること。</w:t>
      </w:r>
    </w:p>
    <w:sectPr>
      <w:pgSz w:w="16838" w:h="11906" w:orient="landscape"/>
      <w:pgMar w:top="1701" w:right="1985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49</TotalTime>
  <Pages>1</Pages>
  <Words>5</Words>
  <Characters>223</Characters>
  <Application>JUST Note</Application>
  <Lines>33</Lines>
  <Paragraphs>17</Paragraphs>
  <Company>箕面市役所</Company>
  <CharactersWithSpaces>277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村田　麻子(手動)</cp:lastModifiedBy>
  <dcterms:created xsi:type="dcterms:W3CDTF">2020-03-04T05:54:00Z</dcterms:created>
  <dcterms:modified xsi:type="dcterms:W3CDTF">2026-09-02T08:07:05Z</dcterms:modified>
  <cp:revision>2</cp:revision>
</cp:coreProperties>
</file>