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225" w:hRule="atLeast"/>
        </w:trPr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※「同種業務」とは、地方公共団体における教育・保育施設等給付費の自動計算及び請求書の作成業務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※「同規模業務」とは、人口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万人以上の地方公共団体における教育・保育施設等給付費の自動計算及び請求書の作成業務とする。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  <w:u w:val="none" w:color="auto"/>
          <w:shd w:val="clear" w:color="auto" w:fill="auto"/>
        </w:rPr>
        <w:t>※「類似業務」とは、その他給付等の自動計算及び請求書の作成業務とする。</w:t>
      </w:r>
    </w:p>
    <w:sectPr>
      <w:pgSz w:w="16838" w:h="11906" w:orient="landscape"/>
      <w:pgMar w:top="1417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2</Words>
  <Characters>271</Characters>
  <Application>JUST Note</Application>
  <Lines>78</Lines>
  <Paragraphs>22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dcterms:created xsi:type="dcterms:W3CDTF">2020-03-04T05:54:00Z</dcterms:created>
  <dcterms:modified xsi:type="dcterms:W3CDTF">2024-06-05T04:10:54Z</dcterms:modified>
  <cp:revision>2</cp:revision>
</cp:coreProperties>
</file>