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jc w:val="center"/>
        <w:rPr>
          <w:rFonts w:hint="eastAsia" w:ascii="游ゴシック" w:hAnsi="游ゴシック" w:eastAsia="游ゴシック"/>
          <w:sz w:val="21"/>
        </w:rPr>
      </w:pPr>
      <w:bookmarkStart w:id="0" w:name="_35br9bixusvs"/>
      <w:bookmarkEnd w:id="0"/>
      <w:r>
        <w:rPr>
          <w:rFonts w:hint="eastAsia" w:ascii="游ゴシック" w:hAnsi="游ゴシック" w:eastAsia="游ゴシック"/>
          <w:b w:val="1"/>
          <w:sz w:val="28"/>
        </w:rPr>
        <w:t>箕面市保育所入所選考等支援ソフトウェア導入業務仕様書</w:t>
      </w:r>
      <w:bookmarkStart w:id="1" w:name="_3q3bykjeffml"/>
      <w:bookmarkEnd w:id="1"/>
      <w:bookmarkStart w:id="2" w:name="_d6b1b34h6xl1"/>
      <w:bookmarkEnd w:id="2"/>
      <w:bookmarkStart w:id="3" w:name="_j3mrv24bbfh4"/>
      <w:bookmarkEnd w:id="3"/>
    </w:p>
    <w:p>
      <w:pPr>
        <w:pStyle w:val="0"/>
        <w:spacing w:line="240" w:lineRule="auto"/>
        <w:jc w:val="center"/>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１．業務名</w:t>
      </w:r>
    </w:p>
    <w:p>
      <w:pPr>
        <w:pStyle w:val="0"/>
        <w:spacing w:line="320" w:lineRule="exact"/>
        <w:ind w:firstLine="420" w:firstLineChars="200"/>
        <w:jc w:val="both"/>
        <w:rPr>
          <w:rFonts w:hint="eastAsia" w:ascii="游ゴシック" w:hAnsi="游ゴシック" w:eastAsia="游ゴシック"/>
          <w:sz w:val="21"/>
        </w:rPr>
      </w:pPr>
      <w:r>
        <w:rPr>
          <w:rFonts w:hint="eastAsia" w:ascii="游ゴシック" w:hAnsi="游ゴシック" w:eastAsia="游ゴシック"/>
          <w:sz w:val="21"/>
        </w:rPr>
        <w:t>箕面市保育所入所選考等支援ソフトウェア導入業務</w:t>
      </w:r>
    </w:p>
    <w:p>
      <w:pPr>
        <w:pStyle w:val="0"/>
        <w:spacing w:line="320" w:lineRule="exact"/>
        <w:jc w:val="both"/>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２．業務の目的</w:t>
      </w:r>
    </w:p>
    <w:p>
      <w:pPr>
        <w:pStyle w:val="0"/>
        <w:spacing w:line="320" w:lineRule="exact"/>
        <w:jc w:val="both"/>
        <w:rPr>
          <w:rFonts w:hint="eastAsia" w:ascii="游ゴシック" w:hAnsi="游ゴシック" w:eastAsia="游ゴシック"/>
          <w:sz w:val="21"/>
        </w:rPr>
      </w:pPr>
      <w:r>
        <w:rPr>
          <w:rFonts w:hint="eastAsia" w:ascii="游ゴシック" w:hAnsi="游ゴシック" w:eastAsia="游ゴシック"/>
          <w:sz w:val="21"/>
        </w:rPr>
        <w:t>　　箕面市（以下「市」という。）が行う保育所入所選考等業務において、</w:t>
      </w:r>
    </w:p>
    <w:p>
      <w:pPr>
        <w:pStyle w:val="0"/>
        <w:spacing w:line="320" w:lineRule="exact"/>
        <w:ind w:left="660" w:hanging="660" w:hangingChars="300"/>
        <w:jc w:val="both"/>
        <w:rPr>
          <w:rFonts w:hint="eastAsia" w:ascii="游ゴシック" w:hAnsi="游ゴシック" w:eastAsia="游ゴシック"/>
          <w:sz w:val="21"/>
        </w:rPr>
      </w:pPr>
      <w:r>
        <w:rPr>
          <w:rFonts w:hint="eastAsia" w:ascii="游ゴシック" w:hAnsi="游ゴシック" w:eastAsia="游ゴシック"/>
          <w:sz w:val="21"/>
        </w:rPr>
        <w:t>（１）入所選考については、申請者の世帯状況や希望等、また保育所等の受入態勢（空き定員）に応じ、本市で定めた選考基準の下、職員が手作業で行っている。</w:t>
      </w:r>
    </w:p>
    <w:p>
      <w:pPr>
        <w:pStyle w:val="0"/>
        <w:spacing w:line="320" w:lineRule="exact"/>
        <w:ind w:left="660" w:hanging="660" w:hangingChars="300"/>
        <w:jc w:val="both"/>
        <w:rPr>
          <w:rFonts w:hint="eastAsia" w:ascii="游ゴシック" w:hAnsi="游ゴシック" w:eastAsia="游ゴシック"/>
          <w:sz w:val="21"/>
        </w:rPr>
      </w:pPr>
      <w:r>
        <w:rPr>
          <w:rFonts w:hint="eastAsia" w:ascii="游ゴシック" w:hAnsi="游ゴシック" w:eastAsia="游ゴシック"/>
          <w:sz w:val="21"/>
        </w:rPr>
        <w:t>（２）保育料算定や副食費免除にかかる情報の確認作業についても、職員が複数回に分けて手作業・目視で行っている。</w:t>
      </w:r>
    </w:p>
    <w:p>
      <w:pPr>
        <w:pStyle w:val="0"/>
        <w:spacing w:line="320" w:lineRule="exact"/>
        <w:ind w:left="220" w:leftChars="100" w:firstLine="210" w:firstLineChars="100"/>
        <w:jc w:val="both"/>
        <w:rPr>
          <w:rFonts w:hint="eastAsia" w:ascii="游ゴシック" w:hAnsi="游ゴシック" w:eastAsia="游ゴシック"/>
          <w:sz w:val="21"/>
        </w:rPr>
      </w:pPr>
      <w:r>
        <w:rPr>
          <w:rFonts w:hint="eastAsia" w:ascii="游ゴシック" w:hAnsi="游ゴシック" w:eastAsia="游ゴシック"/>
          <w:sz w:val="21"/>
        </w:rPr>
        <w:t>そこで、保育所入所選考等支援ソフトウェア（以下「ソフトウェア」という。）を導入し、自動化することにより、業務効率化及び市民サービスの向上を図る。</w:t>
      </w:r>
    </w:p>
    <w:p>
      <w:pPr>
        <w:pStyle w:val="0"/>
        <w:spacing w:line="320" w:lineRule="exact"/>
        <w:ind w:firstLine="220" w:firstLineChars="100"/>
        <w:jc w:val="both"/>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３．履行場所</w:t>
      </w:r>
    </w:p>
    <w:p>
      <w:pPr>
        <w:pStyle w:val="0"/>
        <w:spacing w:line="320" w:lineRule="exact"/>
        <w:jc w:val="both"/>
        <w:rPr>
          <w:rFonts w:hint="eastAsia" w:ascii="游ゴシック" w:hAnsi="游ゴシック" w:eastAsia="游ゴシック"/>
          <w:sz w:val="21"/>
        </w:rPr>
      </w:pPr>
      <w:r>
        <w:rPr>
          <w:rFonts w:hint="eastAsia" w:ascii="游ゴシック" w:hAnsi="游ゴシック" w:eastAsia="游ゴシック"/>
          <w:sz w:val="21"/>
        </w:rPr>
        <w:t>　　市が指定する場所（原則、箕面市役所内（箕面市西小路四丁目６番１号））</w:t>
      </w:r>
    </w:p>
    <w:p>
      <w:pPr>
        <w:pStyle w:val="0"/>
        <w:spacing w:line="320" w:lineRule="exact"/>
        <w:jc w:val="both"/>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４．履行期間</w:t>
      </w:r>
    </w:p>
    <w:p>
      <w:pPr>
        <w:pStyle w:val="0"/>
        <w:spacing w:line="320" w:lineRule="exact"/>
        <w:ind w:firstLine="420" w:firstLineChars="200"/>
        <w:jc w:val="both"/>
        <w:rPr>
          <w:rFonts w:hint="eastAsia" w:ascii="游ゴシック" w:hAnsi="游ゴシック" w:eastAsia="游ゴシック"/>
          <w:sz w:val="21"/>
        </w:rPr>
      </w:pPr>
      <w:r>
        <w:rPr>
          <w:rFonts w:hint="eastAsia" w:ascii="游ゴシック" w:hAnsi="游ゴシック" w:eastAsia="游ゴシック"/>
          <w:sz w:val="21"/>
        </w:rPr>
        <w:t>契約締結日から令和６年９月３０日までとする。</w:t>
      </w:r>
      <w:bookmarkStart w:id="4" w:name="_GoBack"/>
      <w:bookmarkEnd w:id="4"/>
    </w:p>
    <w:p>
      <w:pPr>
        <w:pStyle w:val="0"/>
        <w:spacing w:line="320" w:lineRule="exact"/>
        <w:ind w:left="0" w:leftChars="0" w:firstLine="420" w:firstLineChars="200"/>
        <w:jc w:val="both"/>
        <w:rPr>
          <w:rFonts w:hint="eastAsia" w:ascii="游ゴシック" w:hAnsi="游ゴシック" w:eastAsia="游ゴシック"/>
          <w:sz w:val="21"/>
        </w:rPr>
      </w:pPr>
      <w:r>
        <w:rPr>
          <w:rFonts w:hint="eastAsia" w:ascii="游ゴシック" w:hAnsi="游ゴシック" w:eastAsia="游ゴシック"/>
          <w:sz w:val="21"/>
        </w:rPr>
        <w:t>ただし、テスト環境での動作確認期間を１～２か月程度設定すること。</w:t>
      </w:r>
    </w:p>
    <w:p>
      <w:pPr>
        <w:pStyle w:val="0"/>
        <w:spacing w:line="320" w:lineRule="exact"/>
        <w:jc w:val="both"/>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５．委託業務の内容</w:t>
      </w:r>
    </w:p>
    <w:p>
      <w:pPr>
        <w:pStyle w:val="0"/>
        <w:spacing w:line="320" w:lineRule="exact"/>
        <w:jc w:val="both"/>
        <w:rPr>
          <w:rFonts w:hint="eastAsia" w:ascii="游ゴシック" w:hAnsi="游ゴシック" w:eastAsia="游ゴシック"/>
          <w:sz w:val="21"/>
        </w:rPr>
      </w:pPr>
      <w:r>
        <w:rPr>
          <w:rFonts w:hint="eastAsia" w:ascii="游ゴシック" w:hAnsi="游ゴシック" w:eastAsia="游ゴシック"/>
          <w:sz w:val="21"/>
        </w:rPr>
        <w:t>　　業務内容は以下のとおりとする。</w:t>
      </w:r>
    </w:p>
    <w:p>
      <w:pPr>
        <w:pStyle w:val="0"/>
        <w:spacing w:line="320" w:lineRule="exact"/>
        <w:jc w:val="both"/>
        <w:rPr>
          <w:rFonts w:hint="eastAsia" w:ascii="游ゴシック" w:hAnsi="游ゴシック" w:eastAsia="游ゴシック"/>
          <w:sz w:val="21"/>
        </w:rPr>
      </w:pPr>
      <w:r>
        <w:rPr>
          <w:rFonts w:hint="eastAsia" w:ascii="游ゴシック" w:hAnsi="游ゴシック" w:eastAsia="游ゴシック"/>
          <w:sz w:val="21"/>
        </w:rPr>
        <w:t>（１）市が指定する端末にソフトウェアを導入すること。</w:t>
      </w:r>
    </w:p>
    <w:p>
      <w:pPr>
        <w:pStyle w:val="0"/>
        <w:spacing w:line="320" w:lineRule="exact"/>
        <w:ind w:left="660" w:hanging="660" w:hangingChars="300"/>
        <w:jc w:val="both"/>
        <w:rPr>
          <w:rFonts w:hint="eastAsia" w:ascii="游ゴシック" w:hAnsi="游ゴシック" w:eastAsia="游ゴシック"/>
          <w:sz w:val="21"/>
        </w:rPr>
      </w:pPr>
      <w:r>
        <w:rPr>
          <w:rFonts w:hint="eastAsia" w:ascii="游ゴシック" w:hAnsi="游ゴシック" w:eastAsia="游ゴシック"/>
          <w:sz w:val="21"/>
        </w:rPr>
        <w:t>（２）入所選考または保育料算定等、市が指定する業務における業務判断自動化ツールの判定ルール等を設計及び設定すること。</w:t>
      </w:r>
    </w:p>
    <w:p>
      <w:pPr>
        <w:pStyle w:val="0"/>
        <w:spacing w:line="320" w:lineRule="exact"/>
        <w:jc w:val="both"/>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６．ソフトウェアの導入（各種テスト及び研修を含む）</w:t>
      </w:r>
    </w:p>
    <w:p>
      <w:pPr>
        <w:pStyle w:val="0"/>
        <w:spacing w:line="320" w:lineRule="exact"/>
        <w:jc w:val="both"/>
        <w:rPr>
          <w:rFonts w:hint="eastAsia" w:ascii="游ゴシック" w:hAnsi="游ゴシック" w:eastAsia="游ゴシック"/>
          <w:b w:val="1"/>
          <w:sz w:val="21"/>
        </w:rPr>
      </w:pPr>
      <w:r>
        <w:rPr>
          <w:rFonts w:hint="eastAsia" w:ascii="游ゴシック" w:hAnsi="游ゴシック" w:eastAsia="游ゴシック"/>
          <w:b w:val="1"/>
          <w:sz w:val="21"/>
        </w:rPr>
        <w:t>（１）全般的要件</w:t>
      </w:r>
    </w:p>
    <w:p>
      <w:pPr>
        <w:pStyle w:val="0"/>
        <w:spacing w:line="320" w:lineRule="exact"/>
        <w:ind w:left="0" w:leftChars="100" w:right="0" w:rightChars="0" w:firstLine="0" w:firstLineChars="0"/>
        <w:jc w:val="both"/>
        <w:rPr>
          <w:rFonts w:hint="eastAsia" w:ascii="游ゴシック" w:hAnsi="游ゴシック" w:eastAsia="游ゴシック"/>
          <w:b w:val="1"/>
          <w:sz w:val="21"/>
        </w:rPr>
      </w:pPr>
      <w:r>
        <w:rPr>
          <w:rFonts w:hint="eastAsia" w:ascii="游ゴシック" w:hAnsi="游ゴシック" w:eastAsia="游ゴシック"/>
          <w:b w:val="1"/>
          <w:sz w:val="21"/>
        </w:rPr>
        <w:t>　ア　基本事項</w:t>
      </w:r>
    </w:p>
    <w:p>
      <w:pPr>
        <w:pStyle w:val="0"/>
        <w:numPr>
          <w:ilvl w:val="0"/>
          <w:numId w:val="1"/>
        </w:numPr>
        <w:spacing w:line="320" w:lineRule="exact"/>
        <w:ind w:left="1080" w:leftChars="0" w:right="0" w:rightChars="0" w:hanging="420" w:firstLineChars="0"/>
        <w:rPr>
          <w:rFonts w:hint="eastAsia" w:ascii="游ゴシック" w:hAnsi="游ゴシック" w:eastAsia="游ゴシック"/>
          <w:sz w:val="21"/>
        </w:rPr>
      </w:pPr>
      <w:r>
        <w:rPr>
          <w:rFonts w:hint="eastAsia" w:ascii="游ゴシック" w:hAnsi="游ゴシック" w:eastAsia="游ゴシック"/>
          <w:sz w:val="21"/>
        </w:rPr>
        <w:t>職員の業務負担軽減に役立つシステムであること。</w:t>
      </w:r>
    </w:p>
    <w:p>
      <w:pPr>
        <w:pStyle w:val="0"/>
        <w:numPr>
          <w:ilvl w:val="0"/>
          <w:numId w:val="1"/>
        </w:numPr>
        <w:spacing w:line="320" w:lineRule="exact"/>
        <w:ind w:left="1080" w:leftChars="0" w:right="0" w:rightChars="0" w:hanging="420" w:firstLineChars="0"/>
        <w:rPr>
          <w:rFonts w:hint="eastAsia" w:ascii="游ゴシック" w:hAnsi="游ゴシック" w:eastAsia="游ゴシック"/>
          <w:sz w:val="21"/>
        </w:rPr>
      </w:pPr>
      <w:r>
        <w:rPr>
          <w:rFonts w:hint="eastAsia" w:ascii="游ゴシック" w:hAnsi="游ゴシック" w:eastAsia="游ゴシック"/>
          <w:sz w:val="21"/>
        </w:rPr>
        <w:t>利用者の利便性・操作性等を考慮した、容易に操作できるシステムであること。</w:t>
      </w:r>
    </w:p>
    <w:p>
      <w:pPr>
        <w:pStyle w:val="0"/>
        <w:numPr>
          <w:ilvl w:val="0"/>
          <w:numId w:val="1"/>
        </w:numPr>
        <w:spacing w:line="320" w:lineRule="exact"/>
        <w:ind w:left="1080" w:leftChars="0" w:right="0" w:rightChars="0" w:hanging="420" w:firstLineChars="0"/>
        <w:rPr>
          <w:rFonts w:hint="eastAsia" w:ascii="游ゴシック" w:hAnsi="游ゴシック" w:eastAsia="游ゴシック"/>
          <w:sz w:val="21"/>
        </w:rPr>
      </w:pPr>
      <w:r>
        <w:rPr>
          <w:rFonts w:hint="eastAsia" w:ascii="游ゴシック" w:hAnsi="游ゴシック" w:eastAsia="游ゴシック"/>
          <w:sz w:val="21"/>
        </w:rPr>
        <w:t>保育制度の改正等に対応できる拡張性の高いシステムであること。</w:t>
      </w:r>
    </w:p>
    <w:p>
      <w:pPr>
        <w:pStyle w:val="0"/>
        <w:numPr>
          <w:ilvl w:val="0"/>
          <w:numId w:val="1"/>
        </w:numPr>
        <w:spacing w:line="320" w:lineRule="exact"/>
        <w:ind w:left="1080" w:leftChars="0" w:right="0" w:rightChars="0" w:hanging="420" w:firstLineChars="0"/>
        <w:rPr>
          <w:rFonts w:hint="eastAsia" w:ascii="游ゴシック" w:hAnsi="游ゴシック" w:eastAsia="游ゴシック"/>
          <w:sz w:val="21"/>
        </w:rPr>
      </w:pPr>
      <w:r>
        <w:rPr>
          <w:rFonts w:hint="eastAsia" w:ascii="游ゴシック" w:hAnsi="游ゴシック" w:eastAsia="游ゴシック"/>
          <w:sz w:val="21"/>
        </w:rPr>
        <w:t>５年間以上にわたり、安定した利用が可能であること。</w:t>
      </w:r>
    </w:p>
    <w:p>
      <w:pPr>
        <w:pStyle w:val="0"/>
        <w:spacing w:line="320" w:lineRule="exact"/>
        <w:ind w:left="0" w:leftChars="100" w:right="0" w:rightChars="0" w:firstLine="0" w:firstLineChars="0"/>
        <w:rPr>
          <w:rFonts w:hint="eastAsia" w:ascii="游ゴシック" w:hAnsi="游ゴシック" w:eastAsia="游ゴシック"/>
          <w:b w:val="1"/>
          <w:sz w:val="21"/>
        </w:rPr>
      </w:pPr>
      <w:r>
        <w:rPr>
          <w:rFonts w:hint="eastAsia" w:ascii="游ゴシック" w:hAnsi="游ゴシック" w:eastAsia="游ゴシック"/>
          <w:b w:val="1"/>
          <w:sz w:val="21"/>
        </w:rPr>
        <w:t>　イ　稼働環境</w:t>
      </w:r>
    </w:p>
    <w:p>
      <w:pPr>
        <w:pStyle w:val="0"/>
        <w:spacing w:line="320" w:lineRule="exact"/>
        <w:ind w:left="220" w:leftChars="100" w:right="0" w:rightChars="0" w:firstLine="420" w:firstLineChars="200"/>
        <w:rPr>
          <w:rFonts w:hint="eastAsia" w:ascii="游ゴシック" w:hAnsi="游ゴシック" w:eastAsia="游ゴシック"/>
          <w:sz w:val="21"/>
        </w:rPr>
      </w:pPr>
      <w:r>
        <w:rPr>
          <w:rFonts w:hint="eastAsia" w:ascii="游ゴシック" w:hAnsi="游ゴシック" w:eastAsia="游ゴシック"/>
          <w:sz w:val="21"/>
        </w:rPr>
        <w:t>ソフトウェアを導入する端末の環境は以下のとおりとする。</w:t>
      </w:r>
    </w:p>
    <w:tbl>
      <w:tblPr>
        <w:tblStyle w:val="34"/>
        <w:tblW w:w="7998" w:type="dxa"/>
        <w:jc w:val="left"/>
        <w:tblInd w:w="842" w:type="dxa"/>
        <w:tblLayout w:type="fixed"/>
        <w:tblLook w:firstRow="1" w:lastRow="0" w:firstColumn="1" w:lastColumn="0" w:noHBand="0" w:noVBand="1" w:val="04A0"/>
      </w:tblPr>
      <w:tblGrid>
        <w:gridCol w:w="1418"/>
        <w:gridCol w:w="6580"/>
      </w:tblGrid>
      <w:tr>
        <w:trPr/>
        <w:tc>
          <w:tcPr>
            <w:tcW w:w="1418" w:type="dxa"/>
            <w:shd w:val="clear" w:color="auto" w:themeFill="background1" w:themeFillTint="FF" w:themeFillShade="F2"/>
            <w:vAlign w:val="top"/>
          </w:tcPr>
          <w:p>
            <w:pPr>
              <w:pStyle w:val="0"/>
              <w:spacing w:line="320" w:lineRule="exact"/>
              <w:jc w:val="center"/>
              <w:rPr>
                <w:rFonts w:hint="eastAsia" w:ascii="游ゴシック" w:hAnsi="游ゴシック" w:eastAsia="游ゴシック"/>
                <w:sz w:val="21"/>
              </w:rPr>
            </w:pPr>
            <w:r>
              <w:rPr>
                <w:rFonts w:hint="eastAsia" w:ascii="游ゴシック" w:hAnsi="游ゴシック" w:eastAsia="游ゴシック"/>
                <w:sz w:val="21"/>
              </w:rPr>
              <w:t>CPU</w:t>
            </w:r>
          </w:p>
        </w:tc>
        <w:tc>
          <w:tcPr>
            <w:tcW w:w="6580" w:type="dxa"/>
            <w:vAlign w:val="top"/>
          </w:tcPr>
          <w:p>
            <w:pPr>
              <w:pStyle w:val="0"/>
              <w:spacing w:line="320" w:lineRule="exact"/>
              <w:rPr>
                <w:rFonts w:hint="eastAsia" w:ascii="游ゴシック" w:hAnsi="游ゴシック" w:eastAsia="游ゴシック"/>
                <w:sz w:val="21"/>
              </w:rPr>
            </w:pPr>
            <w:r>
              <w:rPr>
                <w:rFonts w:hint="eastAsia" w:ascii="游ゴシック" w:hAnsi="游ゴシック" w:eastAsia="游ゴシック"/>
                <w:sz w:val="21"/>
              </w:rPr>
              <w:t>Intel Corei5-12500T(4.4GHz/18M)</w:t>
            </w:r>
          </w:p>
        </w:tc>
      </w:tr>
      <w:tr>
        <w:trPr/>
        <w:tc>
          <w:tcPr>
            <w:tcW w:w="1418" w:type="dxa"/>
            <w:shd w:val="clear" w:color="auto" w:themeFill="background1" w:themeFillTint="FF" w:themeFillShade="F2"/>
            <w:vAlign w:val="top"/>
          </w:tcPr>
          <w:p>
            <w:pPr>
              <w:pStyle w:val="0"/>
              <w:spacing w:line="320" w:lineRule="exact"/>
              <w:jc w:val="center"/>
              <w:rPr>
                <w:rFonts w:hint="eastAsia" w:ascii="游ゴシック" w:hAnsi="游ゴシック" w:eastAsia="游ゴシック"/>
                <w:sz w:val="21"/>
              </w:rPr>
            </w:pPr>
            <w:r>
              <w:rPr>
                <w:rFonts w:hint="eastAsia" w:ascii="游ゴシック" w:hAnsi="游ゴシック" w:eastAsia="游ゴシック"/>
                <w:sz w:val="21"/>
              </w:rPr>
              <w:t>メモリ</w:t>
            </w:r>
          </w:p>
        </w:tc>
        <w:tc>
          <w:tcPr>
            <w:tcW w:w="6580" w:type="dxa"/>
            <w:vAlign w:val="top"/>
          </w:tcPr>
          <w:p>
            <w:pPr>
              <w:pStyle w:val="0"/>
              <w:spacing w:line="320" w:lineRule="exact"/>
              <w:rPr>
                <w:rFonts w:hint="eastAsia" w:ascii="游ゴシック" w:hAnsi="游ゴシック" w:eastAsia="游ゴシック"/>
                <w:sz w:val="21"/>
              </w:rPr>
            </w:pPr>
            <w:r>
              <w:rPr>
                <w:rFonts w:hint="eastAsia" w:ascii="游ゴシック" w:hAnsi="游ゴシック" w:eastAsia="游ゴシック"/>
                <w:sz w:val="21"/>
              </w:rPr>
              <w:t>８</w:t>
            </w:r>
            <w:r>
              <w:rPr>
                <w:rFonts w:hint="eastAsia" w:ascii="游ゴシック" w:hAnsi="游ゴシック" w:eastAsia="游ゴシック"/>
                <w:sz w:val="21"/>
              </w:rPr>
              <w:t>GB</w:t>
            </w:r>
            <w:r>
              <w:rPr>
                <w:rFonts w:hint="eastAsia" w:ascii="游ゴシック" w:hAnsi="游ゴシック" w:eastAsia="游ゴシック"/>
                <w:sz w:val="21"/>
              </w:rPr>
              <w:t>以上</w:t>
            </w:r>
          </w:p>
        </w:tc>
      </w:tr>
      <w:tr>
        <w:trPr/>
        <w:tc>
          <w:tcPr>
            <w:tcW w:w="1418" w:type="dxa"/>
            <w:shd w:val="clear" w:color="auto" w:themeFill="background1" w:themeFillTint="FF" w:themeFillShade="F2"/>
            <w:vAlign w:val="top"/>
          </w:tcPr>
          <w:p>
            <w:pPr>
              <w:pStyle w:val="0"/>
              <w:spacing w:line="320" w:lineRule="exact"/>
              <w:jc w:val="center"/>
              <w:rPr>
                <w:rFonts w:hint="eastAsia" w:ascii="游ゴシック" w:hAnsi="游ゴシック" w:eastAsia="游ゴシック"/>
                <w:sz w:val="21"/>
              </w:rPr>
            </w:pPr>
            <w:r>
              <w:rPr>
                <w:rFonts w:hint="eastAsia" w:ascii="游ゴシック" w:hAnsi="游ゴシック" w:eastAsia="游ゴシック"/>
                <w:sz w:val="21"/>
              </w:rPr>
              <w:t>ストレージ</w:t>
            </w:r>
          </w:p>
        </w:tc>
        <w:tc>
          <w:tcPr>
            <w:tcW w:w="6580" w:type="dxa"/>
            <w:vAlign w:val="top"/>
          </w:tcPr>
          <w:p>
            <w:pPr>
              <w:pStyle w:val="0"/>
              <w:spacing w:line="320" w:lineRule="exact"/>
              <w:rPr>
                <w:rFonts w:hint="eastAsia" w:ascii="游ゴシック" w:hAnsi="游ゴシック" w:eastAsia="游ゴシック"/>
                <w:sz w:val="21"/>
              </w:rPr>
            </w:pPr>
            <w:r>
              <w:rPr>
                <w:rFonts w:hint="eastAsia" w:ascii="游ゴシック" w:hAnsi="游ゴシック" w:eastAsia="游ゴシック"/>
                <w:sz w:val="21"/>
              </w:rPr>
              <w:t>SSD 256GB</w:t>
            </w:r>
            <w:r>
              <w:rPr>
                <w:rFonts w:hint="eastAsia" w:ascii="游ゴシック" w:hAnsi="游ゴシック" w:eastAsia="游ゴシック"/>
                <w:sz w:val="21"/>
              </w:rPr>
              <w:t>以上</w:t>
            </w:r>
          </w:p>
        </w:tc>
      </w:tr>
      <w:tr>
        <w:trPr/>
        <w:tc>
          <w:tcPr>
            <w:tcW w:w="1418" w:type="dxa"/>
            <w:shd w:val="clear" w:color="auto" w:themeFill="background1" w:themeFillTint="FF" w:themeFillShade="F2"/>
            <w:vAlign w:val="top"/>
          </w:tcPr>
          <w:p>
            <w:pPr>
              <w:pStyle w:val="0"/>
              <w:spacing w:line="320" w:lineRule="exact"/>
              <w:jc w:val="center"/>
              <w:rPr>
                <w:rFonts w:hint="eastAsia" w:ascii="游ゴシック" w:hAnsi="游ゴシック" w:eastAsia="游ゴシック"/>
                <w:sz w:val="21"/>
              </w:rPr>
            </w:pPr>
            <w:r>
              <w:rPr>
                <w:rFonts w:hint="eastAsia" w:ascii="游ゴシック" w:hAnsi="游ゴシック" w:eastAsia="游ゴシック"/>
                <w:sz w:val="21"/>
              </w:rPr>
              <w:t>OS</w:t>
            </w:r>
          </w:p>
        </w:tc>
        <w:tc>
          <w:tcPr>
            <w:tcW w:w="6580" w:type="dxa"/>
            <w:vAlign w:val="top"/>
          </w:tcPr>
          <w:p>
            <w:pPr>
              <w:pStyle w:val="0"/>
              <w:spacing w:line="320" w:lineRule="exact"/>
              <w:rPr>
                <w:rFonts w:hint="eastAsia" w:ascii="游ゴシック" w:hAnsi="游ゴシック" w:eastAsia="游ゴシック"/>
                <w:sz w:val="21"/>
              </w:rPr>
            </w:pPr>
            <w:r>
              <w:rPr>
                <w:rFonts w:hint="eastAsia" w:ascii="游ゴシック" w:hAnsi="游ゴシック" w:eastAsia="游ゴシック"/>
                <w:sz w:val="21"/>
              </w:rPr>
              <w:t>Windows 11 Pro</w:t>
            </w:r>
          </w:p>
        </w:tc>
      </w:tr>
      <w:tr>
        <w:trPr/>
        <w:tc>
          <w:tcPr>
            <w:tcW w:w="1418" w:type="dxa"/>
            <w:shd w:val="clear" w:color="auto" w:themeFill="background1" w:themeFillTint="FF" w:themeFillShade="F2"/>
            <w:vAlign w:val="top"/>
          </w:tcPr>
          <w:p>
            <w:pPr>
              <w:pStyle w:val="0"/>
              <w:spacing w:line="320" w:lineRule="exact"/>
              <w:jc w:val="center"/>
              <w:rPr>
                <w:rFonts w:hint="eastAsia" w:ascii="游ゴシック" w:hAnsi="游ゴシック" w:eastAsia="游ゴシック"/>
                <w:sz w:val="21"/>
              </w:rPr>
            </w:pPr>
            <w:r>
              <w:rPr>
                <w:rFonts w:hint="eastAsia" w:ascii="游ゴシック" w:hAnsi="游ゴシック" w:eastAsia="游ゴシック"/>
                <w:sz w:val="21"/>
              </w:rPr>
              <w:t>ブラウザ</w:t>
            </w:r>
          </w:p>
        </w:tc>
        <w:tc>
          <w:tcPr>
            <w:tcW w:w="6580" w:type="dxa"/>
            <w:vAlign w:val="top"/>
          </w:tcPr>
          <w:p>
            <w:pPr>
              <w:pStyle w:val="0"/>
              <w:spacing w:line="320" w:lineRule="exact"/>
              <w:rPr>
                <w:rFonts w:hint="eastAsia" w:ascii="游ゴシック" w:hAnsi="游ゴシック" w:eastAsia="游ゴシック"/>
                <w:sz w:val="21"/>
              </w:rPr>
            </w:pPr>
            <w:r>
              <w:rPr>
                <w:rFonts w:hint="eastAsia" w:ascii="游ゴシック" w:hAnsi="游ゴシック" w:eastAsia="游ゴシック"/>
                <w:sz w:val="21"/>
              </w:rPr>
              <w:t>Microsoft Edge</w:t>
            </w:r>
            <w:r>
              <w:rPr>
                <w:rFonts w:hint="eastAsia" w:ascii="游ゴシック" w:hAnsi="游ゴシック" w:eastAsia="游ゴシック"/>
                <w:sz w:val="21"/>
              </w:rPr>
              <w:t>、</w:t>
            </w:r>
            <w:r>
              <w:rPr>
                <w:rFonts w:hint="eastAsia" w:ascii="游ゴシック" w:hAnsi="游ゴシック" w:eastAsia="游ゴシック"/>
                <w:sz w:val="21"/>
              </w:rPr>
              <w:t>Google Chrome</w:t>
            </w:r>
          </w:p>
        </w:tc>
      </w:tr>
    </w:tbl>
    <w:p>
      <w:pPr>
        <w:pStyle w:val="0"/>
        <w:spacing w:line="320" w:lineRule="exact"/>
        <w:rPr>
          <w:rFonts w:hint="eastAsia" w:ascii="游ゴシック" w:hAnsi="游ゴシック" w:eastAsia="游ゴシック"/>
          <w:sz w:val="21"/>
        </w:rPr>
      </w:pPr>
    </w:p>
    <w:p>
      <w:pPr>
        <w:pStyle w:val="0"/>
        <w:spacing w:line="320" w:lineRule="exact"/>
        <w:jc w:val="both"/>
        <w:rPr>
          <w:rFonts w:hint="eastAsia" w:ascii="游ゴシック" w:hAnsi="游ゴシック" w:eastAsia="游ゴシック"/>
          <w:b w:val="1"/>
          <w:sz w:val="21"/>
        </w:rPr>
      </w:pPr>
      <w:r>
        <w:rPr>
          <w:rFonts w:hint="eastAsia" w:ascii="游ゴシック" w:hAnsi="游ゴシック" w:eastAsia="游ゴシック"/>
          <w:b w:val="1"/>
          <w:sz w:val="21"/>
        </w:rPr>
        <w:t>（２）ソフトウェア要件</w:t>
      </w:r>
    </w:p>
    <w:p>
      <w:pPr>
        <w:pStyle w:val="0"/>
        <w:numPr>
          <w:ilvl w:val="0"/>
          <w:numId w:val="2"/>
        </w:numPr>
        <w:spacing w:line="320" w:lineRule="exact"/>
        <w:rPr>
          <w:rFonts w:hint="eastAsia" w:ascii="游ゴシック" w:hAnsi="游ゴシック" w:eastAsia="游ゴシック"/>
          <w:sz w:val="21"/>
        </w:rPr>
      </w:pPr>
      <w:r>
        <w:rPr>
          <w:rFonts w:hint="eastAsia" w:ascii="游ゴシック" w:hAnsi="游ゴシック" w:eastAsia="游ゴシック"/>
          <w:sz w:val="21"/>
        </w:rPr>
        <w:t>市の端末に別のソフトウェアを導入することなく利用できること。</w:t>
      </w:r>
    </w:p>
    <w:p>
      <w:pPr>
        <w:pStyle w:val="0"/>
        <w:numPr>
          <w:ilvl w:val="0"/>
          <w:numId w:val="2"/>
        </w:numPr>
        <w:spacing w:line="320" w:lineRule="exact"/>
        <w:rPr>
          <w:rFonts w:hint="eastAsia" w:ascii="游ゴシック" w:hAnsi="游ゴシック" w:eastAsia="游ゴシック"/>
          <w:sz w:val="21"/>
        </w:rPr>
      </w:pPr>
      <w:r>
        <w:rPr>
          <w:rFonts w:hint="eastAsia" w:ascii="游ゴシック" w:hAnsi="游ゴシック" w:eastAsia="游ゴシック"/>
          <w:sz w:val="21"/>
        </w:rPr>
        <w:t>端末上で単独で利用可能であり、他のクラウドサービス等との接続を必要としないこと。</w:t>
      </w:r>
    </w:p>
    <w:p>
      <w:pPr>
        <w:pStyle w:val="0"/>
        <w:numPr>
          <w:ilvl w:val="0"/>
          <w:numId w:val="2"/>
        </w:numPr>
        <w:spacing w:line="320" w:lineRule="exact"/>
        <w:rPr>
          <w:rFonts w:hint="eastAsia" w:ascii="游ゴシック" w:hAnsi="游ゴシック" w:eastAsia="游ゴシック"/>
          <w:sz w:val="21"/>
        </w:rPr>
      </w:pPr>
      <w:r>
        <w:rPr>
          <w:rFonts w:hint="eastAsia" w:ascii="游ゴシック" w:hAnsi="游ゴシック" w:eastAsia="游ゴシック"/>
          <w:sz w:val="21"/>
        </w:rPr>
        <w:t>カスタマイズを必要としないこと。</w:t>
      </w:r>
    </w:p>
    <w:p>
      <w:pPr>
        <w:pStyle w:val="0"/>
        <w:spacing w:line="320" w:lineRule="exact"/>
        <w:ind w:left="440"/>
        <w:rPr>
          <w:rFonts w:hint="eastAsia" w:ascii="游ゴシック" w:hAnsi="游ゴシック" w:eastAsia="游ゴシック"/>
          <w:sz w:val="21"/>
        </w:rPr>
      </w:pPr>
    </w:p>
    <w:p>
      <w:pPr>
        <w:pStyle w:val="0"/>
        <w:spacing w:line="320" w:lineRule="exact"/>
        <w:rPr>
          <w:rFonts w:hint="eastAsia" w:ascii="游ゴシック" w:hAnsi="游ゴシック" w:eastAsia="游ゴシック"/>
          <w:b w:val="1"/>
          <w:sz w:val="21"/>
        </w:rPr>
      </w:pPr>
      <w:r>
        <w:rPr>
          <w:rFonts w:hint="eastAsia" w:ascii="游ゴシック" w:hAnsi="游ゴシック" w:eastAsia="游ゴシック"/>
          <w:b w:val="1"/>
          <w:sz w:val="21"/>
        </w:rPr>
        <w:t>（３）機能要件</w:t>
      </w:r>
    </w:p>
    <w:p>
      <w:pPr>
        <w:pStyle w:val="0"/>
        <w:spacing w:line="320" w:lineRule="exact"/>
        <w:ind w:left="440" w:leftChars="200" w:firstLine="210" w:firstLineChars="100"/>
        <w:rPr>
          <w:rFonts w:hint="eastAsia" w:ascii="游ゴシック" w:hAnsi="游ゴシック" w:eastAsia="游ゴシック"/>
          <w:sz w:val="21"/>
        </w:rPr>
      </w:pPr>
      <w:r>
        <w:rPr>
          <w:rFonts w:hint="eastAsia" w:ascii="游ゴシック" w:hAnsi="游ゴシック" w:eastAsia="游ゴシック"/>
          <w:sz w:val="21"/>
        </w:rPr>
        <w:t>別紙「機能要件一覧」に記載の項目はすべて見積金額の範囲内で実装すること。ただし条件どおりの実装が困難な場合については、代替案を提示する等の対応により要求項目を十分に満たすものであると市が判断した場合のみ、対応可能として解する。</w:t>
      </w:r>
    </w:p>
    <w:p>
      <w:pPr>
        <w:pStyle w:val="20"/>
        <w:numPr>
          <w:numId w:val="0"/>
        </w:numPr>
        <w:spacing w:line="320" w:lineRule="exact"/>
        <w:ind w:left="0" w:leftChars="0" w:firstLine="0" w:firstLineChars="0"/>
        <w:rPr>
          <w:rFonts w:hint="eastAsia" w:ascii="游ゴシック" w:hAnsi="游ゴシック" w:eastAsia="游ゴシック"/>
          <w:sz w:val="21"/>
        </w:rPr>
      </w:pPr>
    </w:p>
    <w:p>
      <w:pPr>
        <w:pStyle w:val="0"/>
        <w:spacing w:line="320" w:lineRule="exact"/>
        <w:rPr>
          <w:rFonts w:hint="eastAsia" w:ascii="游ゴシック" w:hAnsi="游ゴシック" w:eastAsia="游ゴシック"/>
          <w:b w:val="1"/>
          <w:sz w:val="21"/>
        </w:rPr>
      </w:pPr>
      <w:r>
        <w:rPr>
          <w:rFonts w:hint="eastAsia" w:ascii="游ゴシック" w:hAnsi="游ゴシック" w:eastAsia="游ゴシック"/>
          <w:b w:val="1"/>
          <w:sz w:val="21"/>
        </w:rPr>
        <w:t>（４）運用テスト</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受注者は発注者の協力のもと運用テストを行い、動作環境を確認すること。</w:t>
      </w:r>
    </w:p>
    <w:p>
      <w:pPr>
        <w:pStyle w:val="20"/>
        <w:spacing w:line="320" w:lineRule="exact"/>
        <w:ind w:left="855" w:leftChars="0"/>
        <w:rPr>
          <w:rFonts w:hint="eastAsia" w:ascii="游ゴシック" w:hAnsi="游ゴシック" w:eastAsia="游ゴシック"/>
          <w:sz w:val="21"/>
        </w:rPr>
      </w:pPr>
      <w:r>
        <w:rPr>
          <w:rFonts w:hint="eastAsia" w:ascii="游ゴシック" w:hAnsi="游ゴシック" w:eastAsia="游ゴシック"/>
          <w:sz w:val="21"/>
        </w:rPr>
        <w:t>運用テストについては、市が妥当であると認められる水準に至るまで実施し、本市の承認を得ること。</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運用テストは、市の本番データを使用し、受託者で本番運用ができることを確認したのちに、市職員の操作で本番運用ができることを確認すること。</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発注者が運用テストの結果からシステムが本業務仕様に適合しないと認めるときは、速やかに機能等の見直しを行うこと。</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運用開始後であっても、運用テスト不足と合理的に認められる場合には、必要な運用テストを実施すること。</w:t>
      </w:r>
    </w:p>
    <w:p>
      <w:pPr>
        <w:pStyle w:val="20"/>
        <w:spacing w:line="320" w:lineRule="exact"/>
        <w:ind w:left="855" w:leftChars="0"/>
        <w:rPr>
          <w:rFonts w:hint="eastAsia" w:ascii="游ゴシック" w:hAnsi="游ゴシック" w:eastAsia="游ゴシック"/>
          <w:sz w:val="21"/>
        </w:rPr>
      </w:pPr>
      <w:r>
        <w:rPr>
          <w:rFonts w:hint="eastAsia" w:ascii="游ゴシック" w:hAnsi="游ゴシック" w:eastAsia="游ゴシック"/>
          <w:sz w:val="21"/>
        </w:rPr>
        <w:t>また、その結果、システムが本業務の仕様に適合しない事実が発見されたときは、速やかに機能等の見直しを行うこと。</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受注者は各種テストの結果について、速やかに発注者に報告すること。</w:t>
      </w:r>
    </w:p>
    <w:p>
      <w:pPr>
        <w:pStyle w:val="0"/>
        <w:spacing w:line="320" w:lineRule="exact"/>
        <w:rPr>
          <w:rFonts w:hint="eastAsia" w:ascii="游ゴシック" w:hAnsi="游ゴシック" w:eastAsia="游ゴシック"/>
          <w:sz w:val="21"/>
        </w:rPr>
      </w:pPr>
    </w:p>
    <w:p>
      <w:pPr>
        <w:pStyle w:val="0"/>
        <w:spacing w:line="320" w:lineRule="exact"/>
        <w:rPr>
          <w:rFonts w:hint="eastAsia" w:ascii="游ゴシック" w:hAnsi="游ゴシック" w:eastAsia="游ゴシック"/>
          <w:b w:val="1"/>
          <w:sz w:val="21"/>
        </w:rPr>
      </w:pPr>
      <w:r>
        <w:rPr>
          <w:rFonts w:hint="eastAsia" w:ascii="游ゴシック" w:hAnsi="游ゴシック" w:eastAsia="游ゴシック"/>
          <w:b w:val="1"/>
          <w:sz w:val="21"/>
        </w:rPr>
        <w:t>（５）研修</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受注者はソフトウェアの利用者に対し、発注者が指定する場所でソフトウェアの操作方法に係る研修を実施すること。</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上記①の研修については、実機を用いて、実際の運用での操作が分かるような内容にすること。</w:t>
      </w:r>
    </w:p>
    <w:p>
      <w:pPr>
        <w:pStyle w:val="20"/>
        <w:spacing w:line="320" w:lineRule="exact"/>
        <w:ind w:left="855" w:leftChars="0"/>
        <w:rPr>
          <w:rFonts w:hint="eastAsia" w:ascii="游ゴシック" w:hAnsi="游ゴシック" w:eastAsia="游ゴシック"/>
          <w:sz w:val="21"/>
        </w:rPr>
      </w:pPr>
      <w:r>
        <w:rPr>
          <w:rFonts w:hint="eastAsia" w:ascii="游ゴシック" w:hAnsi="游ゴシック" w:eastAsia="游ゴシック"/>
          <w:sz w:val="21"/>
        </w:rPr>
        <w:t>また、対象職員が十分理解できるよう工夫して実施すること。</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上記①の研修については、システムに精通した講師が行うこと。</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受注者は上記①の研修で利用する研修マニュアルを作成し、電子媒体で提供すること。</w:t>
      </w:r>
    </w:p>
    <w:p>
      <w:pPr>
        <w:pStyle w:val="20"/>
        <w:spacing w:line="320" w:lineRule="exact"/>
        <w:ind w:left="855" w:leftChars="0"/>
        <w:rPr>
          <w:rFonts w:hint="eastAsia" w:ascii="游ゴシック" w:hAnsi="游ゴシック" w:eastAsia="游ゴシック"/>
          <w:sz w:val="21"/>
        </w:rPr>
      </w:pPr>
      <w:r>
        <w:rPr>
          <w:rFonts w:hint="eastAsia" w:ascii="游ゴシック" w:hAnsi="游ゴシック" w:eastAsia="游ゴシック"/>
          <w:sz w:val="21"/>
        </w:rPr>
        <w:t>研修マニュアルについては、できる限り専門用語を使わず、対象職員が理解しやすい記述とし、実際の画面キャプチャなどを用いてわかりやすく説明すること。機能の修正などがあった場合は、当該箇所を更新した操作マニュアルを速やかに作成し、電子データで提供すること。</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上記①の研修内容・スケジュールについては、受注者と発注者が協議の上、決定すること。</w:t>
      </w:r>
    </w:p>
    <w:p>
      <w:pPr>
        <w:pStyle w:val="0"/>
        <w:spacing w:line="320" w:lineRule="exact"/>
        <w:rPr>
          <w:rFonts w:hint="eastAsia" w:ascii="游ゴシック" w:hAnsi="游ゴシック" w:eastAsia="游ゴシック"/>
          <w:sz w:val="21"/>
        </w:rPr>
      </w:pPr>
    </w:p>
    <w:p>
      <w:pPr>
        <w:pStyle w:val="0"/>
        <w:spacing w:line="320" w:lineRule="exact"/>
        <w:rPr>
          <w:rFonts w:hint="eastAsia" w:ascii="游ゴシック" w:hAnsi="游ゴシック" w:eastAsia="游ゴシック"/>
          <w:b w:val="1"/>
          <w:sz w:val="21"/>
        </w:rPr>
      </w:pPr>
      <w:r>
        <w:rPr>
          <w:rFonts w:hint="eastAsia" w:ascii="游ゴシック" w:hAnsi="游ゴシック" w:eastAsia="游ゴシック"/>
          <w:b w:val="1"/>
          <w:sz w:val="21"/>
        </w:rPr>
        <w:t>（６）プロジェクト管理</w:t>
      </w:r>
    </w:p>
    <w:p>
      <w:pPr>
        <w:pStyle w:val="20"/>
        <w:numPr>
          <w:ilvl w:val="0"/>
          <w:numId w:val="5"/>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受注者は、業務を実施するに当たり、本業務の責任者としてプロジェクト全体を十分に管理可能な者（統括責任者等）を配置すること。</w:t>
      </w:r>
    </w:p>
    <w:p>
      <w:pPr>
        <w:pStyle w:val="20"/>
        <w:spacing w:line="320" w:lineRule="exact"/>
        <w:ind w:left="855" w:leftChars="0"/>
        <w:rPr>
          <w:rFonts w:hint="eastAsia" w:ascii="游ゴシック" w:hAnsi="游ゴシック" w:eastAsia="游ゴシック"/>
          <w:sz w:val="21"/>
        </w:rPr>
      </w:pPr>
      <w:r>
        <w:rPr>
          <w:rFonts w:hint="eastAsia" w:ascii="游ゴシック" w:hAnsi="游ゴシック" w:eastAsia="游ゴシック"/>
          <w:sz w:val="21"/>
        </w:rPr>
        <w:t>また、担当者は、ソフトウェア及び保育所入所選考等業務に精通した者を配置すること。</w:t>
      </w:r>
    </w:p>
    <w:p>
      <w:pPr>
        <w:pStyle w:val="20"/>
        <w:numPr>
          <w:ilvl w:val="0"/>
          <w:numId w:val="5"/>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本契約締結後、速やかに実施計画書、責任者及び品質管理者を含む実施体制図及びスケジュール管理表を作成し、発注者の承認を得ること。</w:t>
      </w:r>
    </w:p>
    <w:p>
      <w:pPr>
        <w:pStyle w:val="20"/>
        <w:numPr>
          <w:ilvl w:val="0"/>
          <w:numId w:val="5"/>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実施計画書で定める管理項目及び管理手法に従って、プロジェクトの進捗、課題管理、品質管理状況等の管理を行うとともに、発注者に適宜、報告すること。</w:t>
      </w:r>
    </w:p>
    <w:p>
      <w:pPr>
        <w:pStyle w:val="20"/>
        <w:numPr>
          <w:ilvl w:val="0"/>
          <w:numId w:val="5"/>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報告は</w:t>
      </w:r>
      <w:r>
        <w:rPr>
          <w:rFonts w:hint="eastAsia" w:ascii="游ゴシック" w:hAnsi="游ゴシック" w:eastAsia="游ゴシック"/>
          <w:sz w:val="21"/>
        </w:rPr>
        <w:t>WEB</w:t>
      </w:r>
      <w:r>
        <w:rPr>
          <w:rFonts w:hint="eastAsia" w:ascii="游ゴシック" w:hAnsi="游ゴシック" w:eastAsia="游ゴシック"/>
          <w:sz w:val="21"/>
        </w:rPr>
        <w:t>会議の利用も可能とする。</w:t>
      </w:r>
    </w:p>
    <w:p>
      <w:pPr>
        <w:pStyle w:val="20"/>
        <w:numPr>
          <w:ilvl w:val="0"/>
          <w:numId w:val="5"/>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プロジェクトの進捗の遅れや重要な課題が発生した場合は、速やかに発注者に報告し、対応方針について協議すること。</w:t>
      </w:r>
    </w:p>
    <w:p>
      <w:pPr>
        <w:pStyle w:val="0"/>
        <w:spacing w:line="320" w:lineRule="exact"/>
        <w:rPr>
          <w:rFonts w:hint="eastAsia" w:ascii="游ゴシック" w:hAnsi="游ゴシック" w:eastAsia="游ゴシック"/>
          <w:sz w:val="21"/>
        </w:rPr>
      </w:pPr>
    </w:p>
    <w:p>
      <w:pPr>
        <w:pStyle w:val="0"/>
        <w:spacing w:line="320" w:lineRule="exact"/>
        <w:rPr>
          <w:rFonts w:hint="eastAsia" w:ascii="游ゴシック" w:hAnsi="游ゴシック" w:eastAsia="游ゴシック"/>
          <w:b w:val="1"/>
          <w:sz w:val="21"/>
        </w:rPr>
      </w:pPr>
      <w:r>
        <w:rPr>
          <w:rFonts w:hint="eastAsia" w:ascii="游ゴシック" w:hAnsi="游ゴシック" w:eastAsia="游ゴシック"/>
          <w:b w:val="1"/>
          <w:sz w:val="21"/>
        </w:rPr>
        <w:t>（７）その他</w:t>
      </w:r>
    </w:p>
    <w:p>
      <w:pPr>
        <w:pStyle w:val="20"/>
        <w:numPr>
          <w:ilvl w:val="0"/>
          <w:numId w:val="6"/>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（６）の研修以外で事例を交えた効果的なソフトウェアの活用方法や他の事例紹介など、発注者に有効なサポートを行うこと。</w:t>
      </w:r>
    </w:p>
    <w:p>
      <w:pPr>
        <w:pStyle w:val="20"/>
        <w:numPr>
          <w:ilvl w:val="0"/>
          <w:numId w:val="6"/>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打ち合わせの際は、資料を作成すること。また、打ち合わせの後は、受注者が議事録を作成し、速やかに発注者に提出すること。</w:t>
      </w:r>
    </w:p>
    <w:p>
      <w:pPr>
        <w:pStyle w:val="20"/>
        <w:numPr>
          <w:ilvl w:val="0"/>
          <w:numId w:val="6"/>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その他、受注者は、ソフトウェアの導入に当たり、発注者が必要な作業の支援を行うこと。</w:t>
      </w:r>
    </w:p>
    <w:p>
      <w:pPr>
        <w:pStyle w:val="0"/>
        <w:numPr>
          <w:numId w:val="0"/>
        </w:numPr>
        <w:spacing w:line="320" w:lineRule="exact"/>
        <w:ind w:left="0" w:leftChars="0" w:firstLineChars="0"/>
        <w:rPr>
          <w:rFonts w:hint="eastAsia" w:ascii="游ゴシック" w:hAnsi="游ゴシック" w:eastAsia="游ゴシック"/>
          <w:sz w:val="21"/>
        </w:rPr>
      </w:pPr>
    </w:p>
    <w:p>
      <w:pPr>
        <w:pStyle w:val="20"/>
        <w:spacing w:line="240" w:lineRule="auto"/>
        <w:ind w:left="0" w:leftChars="0" w:firstLineChars="0"/>
        <w:rPr>
          <w:rFonts w:hint="eastAsia" w:ascii="游ゴシック" w:hAnsi="游ゴシック" w:eastAsia="游ゴシック"/>
          <w:sz w:val="21"/>
        </w:rPr>
      </w:pPr>
      <w:r>
        <w:rPr>
          <w:rFonts w:hint="eastAsia" w:ascii="游ゴシック" w:hAnsi="游ゴシック" w:eastAsia="游ゴシック"/>
          <w:b w:val="1"/>
          <w:sz w:val="24"/>
        </w:rPr>
        <w:t>７</w:t>
      </w:r>
      <w:r>
        <w:rPr>
          <w:rFonts w:hint="eastAsia" w:ascii="游ゴシック" w:hAnsi="游ゴシック" w:eastAsia="游ゴシック"/>
          <w:b w:val="1"/>
          <w:sz w:val="24"/>
        </w:rPr>
        <w:t xml:space="preserve">. </w:t>
      </w:r>
      <w:r>
        <w:rPr>
          <w:rFonts w:hint="eastAsia" w:ascii="游ゴシック" w:hAnsi="游ゴシック" w:eastAsia="游ゴシック"/>
          <w:b w:val="1"/>
          <w:sz w:val="24"/>
        </w:rPr>
        <w:t>納品成果物</w:t>
      </w:r>
    </w:p>
    <w:p>
      <w:pPr>
        <w:pStyle w:val="20"/>
        <w:spacing w:line="320" w:lineRule="exact"/>
        <w:ind w:left="220" w:leftChars="100" w:firstLine="210" w:firstLineChars="100"/>
        <w:rPr>
          <w:rFonts w:hint="eastAsia" w:ascii="游ゴシック" w:hAnsi="游ゴシック" w:eastAsia="游ゴシック"/>
          <w:sz w:val="21"/>
        </w:rPr>
      </w:pPr>
      <w:r>
        <w:rPr>
          <w:rFonts w:hint="eastAsia" w:ascii="游ゴシック" w:hAnsi="游ゴシック" w:eastAsia="游ゴシック"/>
          <w:sz w:val="21"/>
        </w:rPr>
        <w:t>本業務における納品成果物として、日本語にて記載された以下のものを市が指定する電子媒体にて納品すること。電子媒体は、納品前に必ずウイルスチェックを行うこと。</w:t>
      </w:r>
    </w:p>
    <w:p>
      <w:pPr>
        <w:pStyle w:val="20"/>
        <w:spacing w:line="320" w:lineRule="exact"/>
        <w:ind w:left="220" w:leftChars="100" w:firstLine="210" w:firstLineChars="100"/>
        <w:rPr>
          <w:rFonts w:hint="eastAsia" w:ascii="游ゴシック" w:hAnsi="游ゴシック" w:eastAsia="游ゴシック"/>
          <w:sz w:val="21"/>
        </w:rPr>
      </w:pPr>
      <w:r>
        <w:rPr>
          <w:rFonts w:hint="eastAsia" w:ascii="游ゴシック" w:hAnsi="游ゴシック" w:eastAsia="游ゴシック"/>
          <w:sz w:val="21"/>
        </w:rPr>
        <w:t>その他、追加で提出が必要な資料がある場合は、発注者と協議の上、本業務の費用の範囲内で対応可能な範囲で作成に協力すること。</w:t>
      </w:r>
    </w:p>
    <w:p>
      <w:pPr>
        <w:pStyle w:val="20"/>
        <w:spacing w:line="320" w:lineRule="exact"/>
        <w:ind w:left="220" w:leftChars="100" w:firstLine="210" w:firstLineChars="100"/>
        <w:rPr>
          <w:rFonts w:hint="eastAsia" w:ascii="游ゴシック" w:hAnsi="游ゴシック" w:eastAsia="游ゴシック"/>
          <w:sz w:val="21"/>
        </w:rPr>
      </w:pPr>
      <w:r>
        <w:rPr>
          <w:rFonts w:hint="eastAsia" w:ascii="游ゴシック" w:hAnsi="游ゴシック" w:eastAsia="游ゴシック"/>
          <w:sz w:val="21"/>
        </w:rPr>
        <w:t>成果物は、業務のフロー図や画面キャプチャ、説明項目のマークなど視覚的に分かりやすいものとすること。</w:t>
      </w:r>
    </w:p>
    <w:p>
      <w:pPr>
        <w:pStyle w:val="20"/>
        <w:spacing w:line="320" w:lineRule="exact"/>
        <w:ind w:left="220" w:leftChars="100" w:firstLine="210" w:firstLineChars="100"/>
        <w:rPr>
          <w:rFonts w:hint="eastAsia" w:ascii="游ゴシック" w:hAnsi="游ゴシック" w:eastAsia="游ゴシック"/>
          <w:sz w:val="21"/>
        </w:rPr>
      </w:pPr>
      <w:r>
        <w:rPr>
          <w:rFonts w:hint="eastAsia" w:ascii="游ゴシック" w:hAnsi="游ゴシック" w:eastAsia="游ゴシック"/>
          <w:sz w:val="21"/>
        </w:rPr>
        <w:t>受注者は提出時期に各成果物を提出する他、令和７年３月３１日までに成果物一式を電子媒体（</w:t>
      </w:r>
      <w:r>
        <w:rPr>
          <w:rFonts w:hint="eastAsia" w:ascii="游ゴシック" w:hAnsi="游ゴシック" w:eastAsia="游ゴシック"/>
          <w:sz w:val="21"/>
        </w:rPr>
        <w:t>CD-R</w:t>
      </w:r>
      <w:r>
        <w:rPr>
          <w:rFonts w:hint="eastAsia" w:ascii="游ゴシック" w:hAnsi="游ゴシック" w:eastAsia="游ゴシック"/>
          <w:sz w:val="21"/>
        </w:rPr>
        <w:t>等、正副２部）により納品すること。</w:t>
      </w:r>
    </w:p>
    <w:p>
      <w:pPr>
        <w:pStyle w:val="20"/>
        <w:spacing w:line="320" w:lineRule="exact"/>
        <w:ind w:left="220" w:leftChars="100" w:firstLine="210" w:firstLineChars="100"/>
        <w:rPr>
          <w:rFonts w:hint="eastAsia" w:ascii="游ゴシック" w:hAnsi="游ゴシック" w:eastAsia="游ゴシック"/>
          <w:sz w:val="21"/>
        </w:rPr>
      </w:pPr>
    </w:p>
    <w:tbl>
      <w:tblPr>
        <w:tblStyle w:val="34"/>
        <w:tblW w:w="8415" w:type="dxa"/>
        <w:tblInd w:w="655" w:type="dxa"/>
        <w:tblLayout w:type="fixed"/>
        <w:tblLook w:firstRow="1" w:lastRow="0" w:firstColumn="1" w:lastColumn="0" w:noHBand="0" w:noVBand="1" w:val="04A0"/>
      </w:tblPr>
      <w:tblGrid>
        <w:gridCol w:w="3960"/>
        <w:gridCol w:w="4455"/>
      </w:tblGrid>
      <w:tr>
        <w:trPr/>
        <w:tc>
          <w:tcPr>
            <w:tcW w:w="3960" w:type="dxa"/>
            <w:shd w:val="clear" w:color="auto" w:themeFill="background1" w:themeFillTint="FF" w:themeFillShade="F3"/>
            <w:vAlign w:val="center"/>
          </w:tcPr>
          <w:p>
            <w:pPr>
              <w:pStyle w:val="0"/>
              <w:spacing w:line="240" w:lineRule="auto"/>
              <w:jc w:val="center"/>
              <w:rPr>
                <w:rFonts w:hint="eastAsia" w:ascii="游ゴシック" w:hAnsi="游ゴシック" w:eastAsia="游ゴシック"/>
                <w:b w:val="1"/>
                <w:sz w:val="21"/>
              </w:rPr>
            </w:pPr>
            <w:r>
              <w:rPr>
                <w:rFonts w:hint="eastAsia" w:ascii="游ゴシック" w:hAnsi="游ゴシック" w:eastAsia="游ゴシック"/>
                <w:b w:val="1"/>
                <w:sz w:val="21"/>
              </w:rPr>
              <w:t>納品成果物</w:t>
            </w:r>
          </w:p>
        </w:tc>
        <w:tc>
          <w:tcPr>
            <w:tcW w:w="4455" w:type="dxa"/>
            <w:shd w:val="clear" w:color="auto" w:themeFill="background1" w:themeFillTint="FF" w:themeFillShade="F3"/>
            <w:vAlign w:val="center"/>
          </w:tcPr>
          <w:p>
            <w:pPr>
              <w:pStyle w:val="0"/>
              <w:spacing w:line="240" w:lineRule="auto"/>
              <w:jc w:val="center"/>
              <w:rPr>
                <w:rFonts w:hint="eastAsia" w:ascii="游ゴシック" w:hAnsi="游ゴシック" w:eastAsia="游ゴシック"/>
                <w:b w:val="1"/>
                <w:sz w:val="21"/>
              </w:rPr>
            </w:pPr>
            <w:r>
              <w:rPr>
                <w:rFonts w:hint="eastAsia" w:ascii="游ゴシック" w:hAnsi="游ゴシック" w:eastAsia="游ゴシック"/>
                <w:b w:val="1"/>
                <w:sz w:val="21"/>
              </w:rPr>
              <w:t>提出時期</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ソフトウェア一式</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研修実施までに</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実施計画書</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契約締結後、速やかに</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実施体制図</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契約締結後、速やかに</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実施スケジュール管理表</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契約締結後、速やかに（内容は随時更新）</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課題管理表</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随時、更新すること</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ソフトウェア設計書</w:t>
            </w: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（判定ルール設計を含む）</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別途、発注者が指定する日まで</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テスト計画書・テスト結果報告書</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別途、発注者が指定する日まで</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ソフトウェア操作マニュアル</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研修開始前、別途、発注者が指定する日まで</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研修マニュアル</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研修開始前、別途、発注者が指定する日まで</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運用・保守計画書</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別途、発注者が指定する日まで</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議事録</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打ち合わせや協議実施後、速やかに</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操作研修資料</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研修開始前、別途、発注者が指定する日まで</w:t>
            </w:r>
          </w:p>
        </w:tc>
      </w:tr>
      <w:tr>
        <w:trPr/>
        <w:tc>
          <w:tcPr>
            <w:tcW w:w="3960"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業務実施報告書</w:t>
            </w:r>
          </w:p>
        </w:tc>
        <w:tc>
          <w:tcPr>
            <w:tcW w:w="4455" w:type="dxa"/>
            <w:vAlign w:val="center"/>
          </w:tcPr>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sz w:val="21"/>
              </w:rPr>
              <w:t>令和７年３月３１日まで</w:t>
            </w:r>
          </w:p>
        </w:tc>
      </w:tr>
    </w:tbl>
    <w:p>
      <w:pPr>
        <w:pStyle w:val="0"/>
        <w:spacing w:line="320" w:lineRule="exact"/>
        <w:ind w:left="0" w:leftChars="0" w:firstLineChars="0"/>
        <w:rPr>
          <w:rFonts w:hint="eastAsia" w:ascii="游ゴシック" w:hAnsi="游ゴシック" w:eastAsia="游ゴシック"/>
          <w:sz w:val="21"/>
        </w:rPr>
      </w:pPr>
    </w:p>
    <w:p>
      <w:pPr>
        <w:pStyle w:val="0"/>
        <w:spacing w:line="240" w:lineRule="auto"/>
        <w:ind w:left="0" w:leftChars="0" w:firstLineChars="0"/>
        <w:rPr>
          <w:rFonts w:hint="eastAsia" w:ascii="游ゴシック" w:hAnsi="游ゴシック" w:eastAsia="游ゴシック"/>
          <w:sz w:val="21"/>
        </w:rPr>
      </w:pPr>
      <w:r>
        <w:rPr>
          <w:rFonts w:hint="eastAsia" w:ascii="游ゴシック" w:hAnsi="游ゴシック" w:eastAsia="游ゴシック"/>
          <w:b w:val="1"/>
          <w:sz w:val="24"/>
        </w:rPr>
        <w:t>８</w:t>
      </w:r>
      <w:r>
        <w:rPr>
          <w:rFonts w:hint="eastAsia" w:ascii="游ゴシック" w:hAnsi="游ゴシック" w:eastAsia="游ゴシック"/>
          <w:b w:val="1"/>
          <w:sz w:val="24"/>
        </w:rPr>
        <w:t xml:space="preserve">. </w:t>
      </w:r>
      <w:r>
        <w:rPr>
          <w:rFonts w:hint="eastAsia" w:ascii="游ゴシック" w:hAnsi="游ゴシック" w:eastAsia="游ゴシック"/>
          <w:b w:val="1"/>
          <w:sz w:val="24"/>
        </w:rPr>
        <w:t>留意事項</w:t>
      </w:r>
    </w:p>
    <w:p>
      <w:pPr>
        <w:pStyle w:val="0"/>
        <w:spacing w:line="320" w:lineRule="exact"/>
        <w:ind w:left="0" w:leftChars="0" w:firstLine="0" w:firstLineChars="0"/>
        <w:rPr>
          <w:rFonts w:hint="eastAsia" w:ascii="游ゴシック" w:hAnsi="游ゴシック" w:eastAsia="游ゴシック"/>
          <w:color w:val="auto"/>
          <w:sz w:val="21"/>
        </w:rPr>
      </w:pPr>
      <w:r>
        <w:rPr>
          <w:rFonts w:hint="eastAsia" w:ascii="游ゴシック" w:hAnsi="游ゴシック" w:eastAsia="游ゴシック"/>
          <w:color w:val="auto"/>
          <w:sz w:val="21"/>
        </w:rPr>
        <w:t>（１）本業務は、本仕様書に基づいて実施すること。</w:t>
      </w:r>
    </w:p>
    <w:p>
      <w:pPr>
        <w:pStyle w:val="0"/>
        <w:spacing w:line="320" w:lineRule="exact"/>
        <w:ind w:left="0" w:leftChars="0" w:firstLine="0" w:firstLineChars="0"/>
        <w:rPr>
          <w:rFonts w:hint="eastAsia" w:ascii="游ゴシック" w:hAnsi="游ゴシック" w:eastAsia="游ゴシック"/>
          <w:color w:val="auto"/>
          <w:sz w:val="21"/>
        </w:rPr>
      </w:pPr>
      <w:r>
        <w:rPr>
          <w:rFonts w:hint="eastAsia" w:ascii="游ゴシック" w:hAnsi="游ゴシック" w:eastAsia="游ゴシック"/>
          <w:color w:val="auto"/>
          <w:sz w:val="21"/>
        </w:rPr>
        <w:t>（２）受託者は、業務の実施にあたり、関係法令及び条例等を遵守すること。</w:t>
      </w:r>
    </w:p>
    <w:p>
      <w:pPr>
        <w:pStyle w:val="0"/>
        <w:spacing w:line="320" w:lineRule="exact"/>
        <w:ind w:left="0" w:leftChars="0" w:firstLine="0" w:firstLineChars="0"/>
        <w:rPr>
          <w:rFonts w:hint="eastAsia" w:ascii="游ゴシック" w:hAnsi="游ゴシック" w:eastAsia="游ゴシック"/>
          <w:color w:val="auto"/>
          <w:sz w:val="21"/>
        </w:rPr>
      </w:pPr>
      <w:r>
        <w:rPr>
          <w:rFonts w:hint="eastAsia" w:ascii="游ゴシック" w:hAnsi="游ゴシック" w:eastAsia="游ゴシック"/>
          <w:color w:val="auto"/>
          <w:sz w:val="21"/>
        </w:rPr>
        <w:t>（３）本業務の遂行に当たっては、市と連絡調整しながら作業を進めること。</w:t>
      </w:r>
    </w:p>
    <w:p>
      <w:pPr>
        <w:pStyle w:val="0"/>
        <w:spacing w:line="320" w:lineRule="exact"/>
        <w:ind w:left="0" w:leftChars="0" w:hanging="72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４）本業務の実施に当たり、データの漏洩、データの滅失、事故等の予防に十分留意すること。万が一事故が発生した場合には、生じた事項に対して受託者は一切の責任を負うものとし、事項状況等を速やかに市に報告し、最善の処置を行わなければならない。</w:t>
      </w:r>
    </w:p>
    <w:p>
      <w:pPr>
        <w:pStyle w:val="0"/>
        <w:spacing w:line="320" w:lineRule="exact"/>
        <w:ind w:left="0" w:leftChars="0" w:hanging="72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（５）本業務により得られた成果物及び資料、情報等は、市の許可なく他に公表、貸与、使用、複写、遺漏してはならない。</w:t>
      </w:r>
    </w:p>
    <w:p>
      <w:pPr>
        <w:pStyle w:val="0"/>
        <w:spacing w:line="320" w:lineRule="exact"/>
        <w:ind w:left="0" w:leftChars="0" w:hanging="72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（６）本業務の履行に必要な機器類及び消耗品等は、特別の定めのない限り全て受注者の負担とし、市の資産等を使用する場合は、事前に市と協議すること。</w:t>
      </w:r>
    </w:p>
    <w:p>
      <w:pPr>
        <w:pStyle w:val="0"/>
        <w:spacing w:line="320" w:lineRule="exact"/>
        <w:ind w:left="0" w:leftChars="0" w:firstLine="0" w:firstLineChars="0"/>
        <w:rPr>
          <w:rFonts w:hint="eastAsia" w:ascii="游ゴシック" w:hAnsi="游ゴシック" w:eastAsia="游ゴシック"/>
          <w:color w:val="auto"/>
          <w:sz w:val="21"/>
        </w:rPr>
      </w:pPr>
      <w:r>
        <w:rPr>
          <w:rFonts w:hint="eastAsia" w:ascii="游ゴシック" w:hAnsi="游ゴシック" w:eastAsia="游ゴシック"/>
          <w:color w:val="auto"/>
          <w:sz w:val="21"/>
        </w:rPr>
        <w:t>（７）市の施設内において、本業務に必要な光熱水費は市が負担する。</w:t>
      </w:r>
    </w:p>
    <w:p>
      <w:pPr>
        <w:pStyle w:val="0"/>
        <w:spacing w:line="320" w:lineRule="exact"/>
        <w:ind w:left="0" w:leftChars="0" w:hanging="66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８）本業務完了後に、受託者の責に帰すべき事由による成果物の不良個所があった場合は、検査合格後１年間を期限とし、受託者が速やかに必要な訂正、補足等の措置を行うものとし、これにかかる費用は受託者が負担するものとする。</w:t>
      </w:r>
    </w:p>
    <w:p>
      <w:pPr>
        <w:pStyle w:val="0"/>
        <w:spacing w:line="320" w:lineRule="exact"/>
        <w:ind w:left="0" w:leftChars="0" w:hanging="720" w:hangingChars="300"/>
        <w:rPr>
          <w:rFonts w:hint="eastAsia" w:ascii="游ゴシック" w:hAnsi="游ゴシック" w:eastAsia="游ゴシック"/>
          <w:sz w:val="21"/>
        </w:rPr>
      </w:pPr>
      <w:r>
        <w:rPr>
          <w:rFonts w:hint="eastAsia" w:ascii="游ゴシック" w:hAnsi="游ゴシック" w:eastAsia="游ゴシック"/>
          <w:color w:val="auto"/>
          <w:sz w:val="21"/>
        </w:rPr>
        <w:t>（９）受託者は、本業務の実施に当たっては、業務上知り得た個人情報を他人に漏らしてはならない。また、本業務終了後においても同様とする。</w:t>
      </w:r>
    </w:p>
    <w:p>
      <w:pPr>
        <w:pStyle w:val="0"/>
        <w:spacing w:line="320" w:lineRule="exact"/>
        <w:ind w:left="0" w:leftChars="0" w:hanging="720" w:hangingChars="300"/>
        <w:rPr>
          <w:rFonts w:hint="eastAsia" w:ascii="游ゴシック" w:hAnsi="游ゴシック" w:eastAsia="游ゴシック"/>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w:t>
      </w:r>
      <w:r>
        <w:rPr>
          <w:rFonts w:hint="eastAsia" w:ascii="游ゴシック" w:hAnsi="游ゴシック" w:eastAsia="游ゴシック"/>
          <w:sz w:val="21"/>
        </w:rPr>
        <w:t>本仕様書は、主要事項を記述したものであり、明記されていない事項についても、本業務の目的を達成するために当然備えるべき事項については、完備しているものとする。</w:t>
      </w:r>
    </w:p>
    <w:p>
      <w:pPr>
        <w:pStyle w:val="0"/>
        <w:spacing w:line="320" w:lineRule="exact"/>
        <w:ind w:left="0" w:leftChars="0" w:hanging="720" w:hangingChars="300"/>
        <w:rPr>
          <w:rFonts w:hint="eastAsia" w:ascii="游ゴシック" w:hAnsi="游ゴシック" w:eastAsia="游ゴシック"/>
          <w:sz w:val="21"/>
        </w:rPr>
      </w:pPr>
      <w:r>
        <w:rPr>
          <w:rFonts w:hint="eastAsia" w:ascii="游ゴシック" w:hAnsi="游ゴシック" w:eastAsia="游ゴシック"/>
          <w:sz w:val="21"/>
        </w:rPr>
        <w:t>（</w:t>
      </w:r>
      <w:r>
        <w:rPr>
          <w:rFonts w:hint="eastAsia" w:ascii="游ゴシック" w:hAnsi="游ゴシック" w:eastAsia="游ゴシック"/>
          <w:sz w:val="21"/>
        </w:rPr>
        <w:t>11</w:t>
      </w:r>
      <w:r>
        <w:rPr>
          <w:rFonts w:hint="eastAsia" w:ascii="游ゴシック" w:hAnsi="游ゴシック" w:eastAsia="游ゴシック"/>
          <w:sz w:val="21"/>
        </w:rPr>
        <w:t>）</w:t>
      </w:r>
      <w:r>
        <w:rPr>
          <w:rFonts w:hint="eastAsia" w:ascii="游ゴシック" w:hAnsi="游ゴシック" w:eastAsia="游ゴシック"/>
          <w:color w:val="auto"/>
          <w:sz w:val="21"/>
        </w:rPr>
        <w:t>本仕様書に定める事項等に疑義が生じた場合、速やかに受託者と市で協議し、決定すること。</w:t>
      </w:r>
      <w:bookmarkStart w:id="5" w:name="_2uzlx736k9ze"/>
      <w:bookmarkEnd w:id="5"/>
      <w:bookmarkStart w:id="6" w:name="_6rnxw1iwpo2i"/>
      <w:bookmarkEnd w:id="6"/>
      <w:bookmarkStart w:id="7" w:name="_anwvpfxkv5ru"/>
      <w:bookmarkEnd w:id="7"/>
      <w:bookmarkStart w:id="8" w:name="_bdu4j2nxu20j"/>
      <w:bookmarkEnd w:id="8"/>
      <w:bookmarkStart w:id="9" w:name="_fj13qgqokbzy"/>
      <w:bookmarkEnd w:id="9"/>
      <w:bookmarkStart w:id="10" w:name="_g3e0b8jaszrq"/>
      <w:bookmarkEnd w:id="10"/>
      <w:bookmarkStart w:id="11" w:name="_ktfh94w0kkj8"/>
      <w:bookmarkEnd w:id="11"/>
      <w:bookmarkStart w:id="12" w:name="_l5e9078on9h"/>
      <w:bookmarkEnd w:id="12"/>
      <w:bookmarkStart w:id="13" w:name="_ndmp3jdkljrl"/>
      <w:bookmarkEnd w:id="13"/>
      <w:bookmarkStart w:id="14" w:name="_nm1m6j4a0q07"/>
      <w:bookmarkEnd w:id="14"/>
      <w:bookmarkStart w:id="15" w:name="_noiahb9rprox"/>
      <w:bookmarkEnd w:id="15"/>
      <w:bookmarkStart w:id="16" w:name="_qufhpco7kpks"/>
      <w:bookmarkEnd w:id="16"/>
      <w:bookmarkStart w:id="17" w:name="_rfnbblges5zb"/>
      <w:bookmarkEnd w:id="17"/>
      <w:bookmarkStart w:id="18" w:name="_srsfrho6fdtq"/>
      <w:bookmarkEnd w:id="18"/>
      <w:bookmarkStart w:id="19" w:name="_tcjjkx1jgwvu"/>
      <w:bookmarkEnd w:id="19"/>
      <w:bookmarkStart w:id="20" w:name="_x57h9doo5cse"/>
      <w:bookmarkEnd w:id="20"/>
      <w:bookmarkStart w:id="21" w:name="_xiep4x1yq8g9"/>
      <w:bookmarkEnd w:id="21"/>
    </w:p>
    <w:sectPr>
      <w:footerReference r:id="rId6" w:type="default"/>
      <w:pgSz w:w="11909" w:h="16834"/>
      <w:pgMar w:top="1417" w:right="1417" w:bottom="1417" w:left="1417" w:header="720" w:footer="720" w:gutter="0"/>
      <w:pgNumType w:start="1"/>
      <w:cols w:space="720"/>
      <w:textDirection w:val="lrTb"/>
      <w:docGrid w:type="linesAndChars"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ial Unicode MS">
    <w:panose1 w:val="00000000000000000000"/>
    <w:charset w:val="00"/>
    <w:family w:val="auto"/>
    <w:pitch w:val="fixed"/>
    <w:sig w:usb0="00000000" w:usb1="00000000" w:usb2="00000000" w:usb3="00000000" w:csb0="00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Yu Gothic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25716628"/>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FE59CA4"/>
    <w:lvl w:ilvl="0" w:tplc="04090011">
      <w:start w:val="1"/>
      <w:numFmt w:val="decimalEnclosedCircle"/>
      <w:lvlText w:val="%1"/>
      <w:lvlJc w:val="left"/>
      <w:pPr>
        <w:ind w:left="860" w:hanging="4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1">
    <w:nsid w:val="00000002"/>
    <w:multiLevelType w:val="hybridMultilevel"/>
    <w:tmpl w:val="12E78204"/>
    <w:lvl w:ilvl="0" w:tplc="04090011">
      <w:start w:val="1"/>
      <w:numFmt w:val="decimalEnclosedCircle"/>
      <w:lvlText w:val="%1"/>
      <w:lvlJc w:val="left"/>
      <w:pPr>
        <w:ind w:left="860" w:hanging="4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
    <w:nsid w:val="00000003"/>
    <w:multiLevelType w:val="hybridMultilevel"/>
    <w:tmpl w:val="6F2A1B7A"/>
    <w:lvl w:ilvl="0" w:tplc="04090011">
      <w:start w:val="1"/>
      <w:numFmt w:val="decimalEnclosedCircle"/>
      <w:lvlText w:val="%1"/>
      <w:lvlJc w:val="left"/>
      <w:pPr>
        <w:ind w:left="855" w:hanging="420"/>
      </w:p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3">
    <w:nsid w:val="00000004"/>
    <w:multiLevelType w:val="hybridMultilevel"/>
    <w:tmpl w:val="60BECAB8"/>
    <w:lvl w:ilvl="0" w:tplc="4E6876DE">
      <w:start w:val="1"/>
      <w:numFmt w:val="decimalEnclosedCircle"/>
      <w:lvlText w:val="%1"/>
      <w:lvlJc w:val="left"/>
      <w:pPr>
        <w:ind w:left="855"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25FEE8C6"/>
    <w:lvl w:ilvl="0" w:tplc="2048AD2C">
      <w:start w:val="1"/>
      <w:numFmt w:val="decimalEnclosedCircle"/>
      <w:lvlText w:val="%1"/>
      <w:lvlJc w:val="left"/>
      <w:pPr>
        <w:ind w:left="855"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E840A5E4"/>
    <w:lvl w:ilvl="0" w:tplc="BA86260A">
      <w:start w:val="1"/>
      <w:numFmt w:val="decimalEnclosedCircle"/>
      <w:lvlText w:val="%1"/>
      <w:lvlJc w:val="left"/>
      <w:pPr>
        <w:ind w:left="855" w:hanging="420"/>
      </w:pPr>
      <w:rPr>
        <w:rFonts w:hint="eastAsia"/>
      </w:rPr>
    </w:lvl>
    <w:lvl w:ilvl="1" w:tplc="9C62CEFC">
      <w:start w:val="9"/>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34"/>
  <w:drawingGridHorizontalSpacing w:val="220"/>
  <w:drawingGridVerticalSpacing w:val="149"/>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paragraph" w:styleId="17">
    <w:name w:val="Revision"/>
    <w:next w:val="17"/>
    <w:link w:val="0"/>
    <w:uiPriority w:val="0"/>
    <w:pPr>
      <w:spacing w:line="240" w:lineRule="auto"/>
    </w:pPr>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List Paragraph"/>
    <w:basedOn w:val="0"/>
    <w:next w:val="20"/>
    <w:link w:val="0"/>
    <w:uiPriority w:val="0"/>
    <w:qFormat/>
    <w:pPr>
      <w:ind w:left="40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Balloon Text"/>
    <w:basedOn w:val="0"/>
    <w:next w:val="30"/>
    <w:link w:val="31"/>
    <w:uiPriority w:val="0"/>
    <w:semiHidden/>
    <w:pPr>
      <w:spacing w:line="240" w:lineRule="auto"/>
    </w:pPr>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table" w:styleId="32" w:customStyle="1">
    <w:name w:val="Table Normal"/>
    <w:basedOn w:val="11"/>
    <w:next w:val="32"/>
    <w:link w:val="0"/>
    <w:uiPriority w:val="0"/>
    <w:tblPr>
      <w:tblStyleRowBandSize w:val="1"/>
      <w:tblStyleColBandSize w:val="1"/>
      <w:tblCellMar>
        <w:left w:w="0" w:type="dxa"/>
        <w:right w:w="0" w:type="dxa"/>
      </w:tblCellMar>
    </w:tblPr>
    <w:trPr/>
    <w:tcPr/>
  </w:style>
  <w:style w:type="table" w:styleId="33" w:customStyle="1">
    <w:name w:val="3"/>
    <w:basedOn w:val="32"/>
    <w:next w:val="33"/>
    <w:link w:val="0"/>
    <w:uiPriority w:val="0"/>
    <w:tblPr>
      <w:tblStyleRowBandSize w:val="1"/>
      <w:tblStyleColBandSize w:val="1"/>
      <w:tblCellMar>
        <w:top w:w="100" w:type="dxa"/>
        <w:bottom w:w="100" w:type="dxa"/>
        <w:left w:w="100" w:type="dxa"/>
        <w:right w:w="100" w:type="dxa"/>
      </w:tblCellMar>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684</TotalTime>
  <Pages>10</Pages>
  <Words>21</Words>
  <Characters>3428</Characters>
  <Application>JUST Note</Application>
  <Lines>309</Lines>
  <Paragraphs>109</Paragraphs>
  <Company>箕面市役所</Company>
  <CharactersWithSpaces>3448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裕美(手動)</dc:creator>
  <cp:lastModifiedBy>森川　祥充(手動)</cp:lastModifiedBy>
  <dcterms:created xsi:type="dcterms:W3CDTF">2024-03-01T06:03:00Z</dcterms:created>
  <dcterms:modified xsi:type="dcterms:W3CDTF">2024-04-09T20:33:42Z</dcterms:modified>
  <cp:revision>4</cp:revision>
</cp:coreProperties>
</file>