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ＭＳ 明朝" w:hAnsi="ＭＳ 明朝" w:eastAsia="ＭＳ 明朝"/>
          <w:color w:val="auto"/>
          <w:sz w:val="24"/>
        </w:rPr>
      </w:pPr>
      <w:bookmarkStart w:id="0" w:name="_GoBack"/>
      <w:bookmarkEnd w:id="0"/>
      <w:r>
        <w:rPr>
          <w:rFonts w:hint="eastAsia" w:ascii="ＭＳ 明朝" w:hAnsi="ＭＳ 明朝" w:eastAsia="ＭＳ 明朝"/>
          <w:sz w:val="24"/>
        </w:rPr>
        <w:t>様</w:t>
      </w:r>
      <w:r>
        <w:rPr>
          <w:rFonts w:hint="eastAsia" w:ascii="ＭＳ 明朝" w:hAnsi="ＭＳ 明朝" w:eastAsia="ＭＳ 明朝"/>
          <w:color w:val="auto"/>
          <w:sz w:val="24"/>
        </w:rPr>
        <w:t>式６</w:t>
      </w:r>
    </w:p>
    <w:p>
      <w:pPr>
        <w:pStyle w:val="0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jc w:val="center"/>
        <w:rPr>
          <w:rFonts w:hint="eastAsia" w:ascii="ＭＳ 明朝" w:hAnsi="ＭＳ 明朝" w:eastAsia="ＭＳ 明朝"/>
          <w:b w:val="1"/>
          <w:color w:val="auto"/>
          <w:sz w:val="32"/>
        </w:rPr>
      </w:pPr>
      <w:r>
        <w:rPr>
          <w:rFonts w:hint="eastAsia" w:ascii="ＭＳ 明朝" w:hAnsi="ＭＳ 明朝" w:eastAsia="ＭＳ 明朝"/>
          <w:b w:val="1"/>
          <w:color w:val="auto"/>
          <w:sz w:val="32"/>
        </w:rPr>
        <w:t>【提案書】キャッシュフローの状況</w:t>
      </w:r>
    </w:p>
    <w:p>
      <w:pPr>
        <w:pStyle w:val="0"/>
        <w:jc w:val="both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jc w:val="center"/>
        <w:rPr>
          <w:rFonts w:hint="eastAsia" w:ascii="ＭＳ 明朝" w:hAnsi="ＭＳ 明朝" w:eastAsia="ＭＳ 明朝"/>
          <w:color w:val="auto"/>
          <w:sz w:val="24"/>
          <w:u w:val="single" w:color="auto"/>
        </w:rPr>
      </w:pPr>
      <w:r>
        <w:rPr>
          <w:rFonts w:hint="eastAsia" w:ascii="ＭＳ 明朝" w:hAnsi="ＭＳ 明朝" w:eastAsia="ＭＳ 明朝"/>
          <w:color w:val="auto"/>
          <w:sz w:val="24"/>
        </w:rPr>
        <w:t>　　　　　　　　　　　　　　　　　　</w:t>
      </w:r>
      <w:r>
        <w:rPr>
          <w:rFonts w:hint="eastAsia" w:ascii="ＭＳ 明朝" w:hAnsi="ＭＳ 明朝" w:eastAsia="ＭＳ 明朝"/>
          <w:color w:val="auto"/>
          <w:sz w:val="24"/>
          <w:u w:val="single" w:color="auto"/>
        </w:rPr>
        <w:t>入札者名：</w:t>
      </w:r>
      <w:r>
        <w:rPr>
          <w:rFonts w:hint="eastAsia" w:ascii="ＭＳ 明朝" w:hAnsi="ＭＳ 明朝" w:eastAsia="ＭＳ 明朝"/>
          <w:color w:val="auto"/>
          <w:sz w:val="24"/>
          <w:highlight w:val="none"/>
          <w:u w:val="single" w:color="auto"/>
          <w:shd w:val="pct15" w:color="auto" w:fill="auto"/>
        </w:rPr>
        <w:t>　　　　　　　　　　　　　　　　</w:t>
      </w:r>
    </w:p>
    <w:p>
      <w:pPr>
        <w:pStyle w:val="0"/>
        <w:jc w:val="left"/>
        <w:rPr>
          <w:rFonts w:hint="eastAsia" w:ascii="ＭＳ 明朝" w:hAnsi="ＭＳ 明朝" w:eastAsia="ＭＳ 明朝"/>
          <w:color w:val="auto"/>
          <w:sz w:val="24"/>
          <w:u w:val="none" w:color="auto"/>
        </w:rPr>
      </w:pPr>
    </w:p>
    <w:tbl>
      <w:tblPr>
        <w:tblStyle w:val="17"/>
        <w:tblpPr w:leftFromText="142" w:rightFromText="142" w:topFromText="0" w:bottomFromText="0" w:vertAnchor="text" w:horzAnchor="text" w:tblpX="621" w:tblpY="345"/>
        <w:tblW w:w="0" w:type="auto"/>
        <w:shd w:val="clear" w:color="auto" w:fill="auto"/>
        <w:tblLayout w:type="fixed"/>
        <w:tblLook w:firstRow="1" w:lastRow="0" w:firstColumn="1" w:lastColumn="0" w:noHBand="0" w:noVBand="1" w:val="04A0"/>
      </w:tblPr>
      <w:tblGrid>
        <w:gridCol w:w="2730"/>
        <w:gridCol w:w="7350"/>
        <w:gridCol w:w="2520"/>
      </w:tblGrid>
      <w:tr>
        <w:trPr>
          <w:trHeight w:val="1540" w:hRule="atLeast"/>
        </w:trPr>
        <w:tc>
          <w:tcPr>
            <w:tcW w:w="27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adjustRightInd w:val="0"/>
              <w:snapToGrid w:val="0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令和７年度</w:t>
            </w:r>
          </w:p>
          <w:p>
            <w:pPr>
              <w:pStyle w:val="0"/>
              <w:adjustRightInd w:val="0"/>
              <w:snapToGrid w:val="0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営業活動による</w:t>
            </w:r>
          </w:p>
          <w:p>
            <w:pPr>
              <w:pStyle w:val="0"/>
              <w:adjustRightInd w:val="0"/>
              <w:snapToGrid w:val="0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キャッシュフロー</w:t>
            </w:r>
          </w:p>
        </w:tc>
        <w:tc>
          <w:tcPr>
            <w:tcW w:w="7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  <w:tl2br w:val="nil"/>
              <w:tr2bl w:val="nil"/>
            </w:tcBorders>
            <w:shd w:val="clear" w:color="auto" w:fill="FFFFBE"/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252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円</w:t>
            </w:r>
          </w:p>
        </w:tc>
      </w:tr>
    </w:tbl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ind w:left="420" w:leftChars="200" w:firstLine="0" w:firstLineChars="0"/>
        <w:jc w:val="left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color w:val="auto"/>
          <w:sz w:val="24"/>
          <w:u w:val="none" w:color="auto"/>
        </w:rPr>
        <w:t>※</w:t>
      </w:r>
      <w:r>
        <w:rPr>
          <w:rFonts w:hint="eastAsia" w:ascii="ＭＳ 明朝" w:hAnsi="ＭＳ 明朝" w:eastAsia="ＭＳ 明朝"/>
          <w:color w:val="auto"/>
          <w:sz w:val="24"/>
          <w:highlight w:val="none"/>
          <w:u w:val="none" w:color="auto"/>
        </w:rPr>
        <w:t>令和７年４月１日から令和８年３月３１日</w:t>
      </w:r>
      <w:r>
        <w:rPr>
          <w:rFonts w:hint="eastAsia" w:ascii="ＭＳ 明朝" w:hAnsi="ＭＳ 明朝" w:eastAsia="ＭＳ 明朝"/>
          <w:color w:val="auto"/>
          <w:sz w:val="24"/>
          <w:u w:val="none" w:color="auto"/>
        </w:rPr>
        <w:t>事業</w:t>
      </w:r>
      <w:r>
        <w:rPr>
          <w:rFonts w:hint="eastAsia" w:ascii="ＭＳ 明朝" w:hAnsi="ＭＳ 明朝" w:eastAsia="ＭＳ 明朝"/>
          <w:sz w:val="24"/>
          <w:u w:val="none" w:color="auto"/>
        </w:rPr>
        <w:t>年度の有価証券報告書のキャッシュフロー計算書の数値を用いること。</w:t>
      </w:r>
    </w:p>
    <w:p>
      <w:pPr>
        <w:pStyle w:val="0"/>
        <w:ind w:left="0" w:leftChars="0" w:firstLine="480" w:firstLineChars="200"/>
        <w:jc w:val="left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※決算月が３月以外の場合は、直近の確定した損益計算書の数値を用いること。</w:t>
      </w:r>
    </w:p>
    <w:p>
      <w:pPr>
        <w:pStyle w:val="0"/>
        <w:ind w:left="0" w:leftChars="0" w:firstLine="480" w:firstLineChars="200"/>
        <w:jc w:val="left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※連結親会社の場合は、連結財務諸表、連結子会社の場合は、単体の財務諸表の数値を用いること。</w:t>
      </w:r>
    </w:p>
    <w:p>
      <w:pPr>
        <w:pStyle w:val="0"/>
        <w:ind w:left="0" w:leftChars="0" w:firstLine="480" w:firstLineChars="200"/>
        <w:jc w:val="left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※数値を引用した決算書を添付のうえ、引用数値をマーカーで明示すること。</w:t>
      </w:r>
    </w:p>
    <w:p>
      <w:pPr>
        <w:pStyle w:val="0"/>
        <w:ind w:left="0" w:leftChars="0" w:firstLine="480" w:firstLineChars="200"/>
        <w:jc w:val="left"/>
        <w:rPr>
          <w:rFonts w:hint="eastAsia" w:ascii="ＭＳ 明朝" w:hAnsi="ＭＳ 明朝" w:eastAsia="ＭＳ 明朝"/>
          <w:color w:val="7030A0"/>
          <w:sz w:val="24"/>
          <w:u w:val="none" w:color="auto"/>
        </w:rPr>
      </w:pPr>
      <w:r>
        <w:rPr>
          <w:rFonts w:hint="eastAsia" w:ascii="ＭＳ 明朝" w:hAnsi="ＭＳ 明朝" w:eastAsia="ＭＳ 明朝"/>
          <w:color w:val="auto"/>
          <w:sz w:val="24"/>
          <w:highlight w:val="none"/>
          <w:u w:val="none" w:color="auto"/>
        </w:rPr>
        <w:t>※上場企業であるか否かにかかわらず、キャッシュフロー計算書を作成していれば、その内容を評価する。</w:t>
      </w:r>
    </w:p>
    <w:sectPr>
      <w:pgSz w:w="16838" w:h="11906" w:orient="landscape"/>
      <w:pgMar w:top="1701" w:right="1985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81</TotalTime>
  <Pages>1</Pages>
  <Words>0</Words>
  <Characters>263</Characters>
  <Application>JUST Note</Application>
  <Lines>27</Lines>
  <Paragraphs>12</Paragraphs>
  <Company>箕面市役所</Company>
  <CharactersWithSpaces>298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松本　茂(手動)</dc:creator>
  <cp:lastModifiedBy>安井　倫生(手動)</cp:lastModifiedBy>
  <dcterms:created xsi:type="dcterms:W3CDTF">2020-03-04T05:54:00Z</dcterms:created>
  <dcterms:modified xsi:type="dcterms:W3CDTF">2026-10-08T10:02:13Z</dcterms:modified>
  <cp:revision>2</cp:revision>
</cp:coreProperties>
</file>