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２０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【提案書】災害時等における業務体制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4"/>
          <w:u w:val="none" w:color="auto"/>
        </w:rPr>
      </w:pPr>
      <w:r>
        <w:rPr>
          <w:rFonts w:hint="eastAsia" w:ascii="ＭＳ 明朝" w:hAnsi="ＭＳ 明朝" w:eastAsia="ＭＳ 明朝"/>
          <w:b w:val="1"/>
          <w:sz w:val="24"/>
          <w:u w:val="none" w:color="auto"/>
        </w:rPr>
        <w:t>■災害時等の業務履行体制の整備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※災害等緊急時において、適性に契約を履行できる社内体制の整備について、具体的かつ簡潔明瞭に記載すること。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※マニュアル等を提出すること。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159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bookmarkStart w:id="0" w:name="_GoBack"/>
      <w:bookmarkEnd w:id="0"/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218</TotalTime>
  <Pages>1</Pages>
  <Words>0</Words>
  <Characters>135</Characters>
  <Application>JUST Note</Application>
  <Lines>72</Lines>
  <Paragraphs>14</Paragraphs>
  <Company>箕面市役所</Company>
  <CharactersWithSpaces>171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2026-10-08T10:17:51Z</dcterms:modified>
  <cp:revision>1</cp:revision>
</cp:coreProperties>
</file>